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PP酸碱柜</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吉林大学第一医院25-YJ-169 PP酸碱柜等设备采购项目议价公告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4593"/>
      <w:bookmarkStart w:id="2" w:name="_Toc11932"/>
      <w:bookmarkStart w:id="3" w:name="_Toc7300"/>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吉林大学第一医院25-YJ-169 PP酸碱柜等设备采购项目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吉林大学第一医院25-YJ-169 PP酸碱柜等设备采购项目</w:t>
      </w:r>
      <w:r>
        <w:rPr>
          <w:rFonts w:hint="eastAsia" w:ascii="宋体" w:hAnsi="宋体" w:cs="宋体"/>
          <w:highlight w:val="none"/>
        </w:rPr>
        <w:t>的潜在供应商应在</w:t>
      </w:r>
      <w:r>
        <w:rPr>
          <w:rFonts w:hint="eastAsia" w:ascii="宋体" w:hAnsi="宋体" w:cs="宋体"/>
          <w:highlight w:val="none"/>
          <w:lang w:eastAsia="zh-CN"/>
        </w:rPr>
        <w:t>2025年09月</w:t>
      </w:r>
      <w:r>
        <w:rPr>
          <w:rFonts w:hint="eastAsia" w:ascii="宋体" w:hAnsi="宋体" w:cs="宋体"/>
          <w:highlight w:val="none"/>
          <w:lang w:val="en-US" w:eastAsia="zh-CN"/>
        </w:rPr>
        <w:t>12</w:t>
      </w:r>
      <w:r>
        <w:rPr>
          <w:rFonts w:hint="eastAsia" w:ascii="宋体" w:hAnsi="宋体" w:cs="宋体"/>
          <w:highlight w:val="none"/>
          <w:lang w:eastAsia="zh-CN"/>
        </w:rPr>
        <w:t>日</w:t>
      </w:r>
      <w:r>
        <w:rPr>
          <w:rFonts w:hint="eastAsia" w:ascii="宋体" w:hAnsi="宋体" w:cs="宋体"/>
          <w:highlight w:val="none"/>
          <w:lang w:val="en-US" w:eastAsia="zh-CN"/>
        </w:rPr>
        <w:t>16</w:t>
      </w:r>
      <w:r>
        <w:rPr>
          <w:rFonts w:hint="eastAsia" w:ascii="宋体" w:hAnsi="宋体" w:cs="宋体"/>
          <w:highlight w:val="none"/>
          <w:lang w:eastAsia="zh-CN"/>
        </w:rPr>
        <w:t>时00分</w:t>
      </w:r>
      <w:r>
        <w:rPr>
          <w:rFonts w:hint="eastAsia" w:ascii="宋体" w:hAnsi="宋体" w:cs="宋体"/>
          <w:highlight w:val="none"/>
        </w:rPr>
        <w:t>（北京时间）前报名。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25-YJ-169</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bookmarkStart w:id="5" w:name="OLE_LINK1"/>
      <w:r>
        <w:rPr>
          <w:rFonts w:hint="eastAsia" w:ascii="宋体" w:hAnsi="宋体" w:cs="宋体"/>
          <w:highlight w:val="none"/>
          <w:lang w:val="en-US" w:eastAsia="zh-CN"/>
        </w:rPr>
        <w:t>吉林大学第一医院25-YJ-169 PP酸碱柜等设备采购项目</w:t>
      </w:r>
      <w:bookmarkEnd w:id="5"/>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PP酸碱柜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PP药品柜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易燃品储存柜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通风柜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切片柜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蜡块柜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4.1  2025年09月18日09时00分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6" w:name="_Toc10880"/>
      <w:bookmarkStart w:id="7" w:name="_Toc28369"/>
      <w:bookmarkStart w:id="8" w:name="_Toc7164"/>
      <w:bookmarkStart w:id="9" w:name="_Toc14606"/>
      <w:bookmarkStart w:id="10" w:name="_Toc5854"/>
      <w:r>
        <w:rPr>
          <w:rFonts w:hint="eastAsia" w:cs="Times New Roman"/>
          <w:b/>
          <w:bCs/>
          <w:sz w:val="28"/>
          <w:szCs w:val="28"/>
          <w:highlight w:val="none"/>
          <w:lang w:val="en-US" w:eastAsia="zh-CN"/>
        </w:rPr>
        <w:t>序号1.PP酸碱柜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PP酸碱柜/2台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numPr>
                <w:ilvl w:val="0"/>
                <w:numId w:val="3"/>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vertAlign w:val="baseline"/>
                <w:lang w:val="en-US" w:eastAsia="zh-CN"/>
              </w:rPr>
              <w:t>产品功能描述：</w:t>
            </w:r>
            <w:r>
              <w:rPr>
                <w:rFonts w:hint="eastAsia" w:ascii="宋体" w:hAnsi="宋体" w:eastAsia="宋体" w:cs="宋体"/>
                <w:sz w:val="21"/>
                <w:szCs w:val="21"/>
                <w:lang w:eastAsia="zh-CN"/>
              </w:rPr>
              <w:t>用于储存</w:t>
            </w:r>
            <w:r>
              <w:rPr>
                <w:rFonts w:hint="eastAsia" w:ascii="宋体" w:hAnsi="宋体" w:eastAsia="宋体" w:cs="宋体"/>
                <w:sz w:val="21"/>
                <w:szCs w:val="21"/>
                <w:lang w:val="en-US" w:eastAsia="zh-CN"/>
              </w:rPr>
              <w:t>具有腐蚀性的化学品及试剂</w:t>
            </w:r>
            <w:r>
              <w:rPr>
                <w:rFonts w:hint="eastAsia" w:ascii="宋体" w:hAnsi="宋体" w:eastAsia="宋体" w:cs="宋体"/>
                <w:sz w:val="21"/>
                <w:szCs w:val="21"/>
                <w:lang w:eastAsia="zh-CN"/>
              </w:rPr>
              <w:t>。</w:t>
            </w:r>
          </w:p>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sz w:val="21"/>
                <w:szCs w:val="21"/>
                <w:lang w:eastAsia="zh-CN"/>
              </w:rPr>
              <w:t>用于储存</w:t>
            </w:r>
            <w:r>
              <w:rPr>
                <w:rFonts w:hint="eastAsia" w:ascii="宋体" w:hAnsi="宋体" w:eastAsia="宋体" w:cs="宋体"/>
                <w:sz w:val="21"/>
                <w:szCs w:val="21"/>
                <w:lang w:val="en-US" w:eastAsia="zh-CN"/>
              </w:rPr>
              <w:t>具有腐蚀性的化学品及试剂</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用于储存</w:t>
            </w:r>
            <w:r>
              <w:rPr>
                <w:rFonts w:hint="eastAsia" w:ascii="宋体" w:hAnsi="宋体" w:eastAsia="宋体" w:cs="宋体"/>
                <w:sz w:val="21"/>
                <w:szCs w:val="21"/>
                <w:lang w:val="en-US" w:eastAsia="zh-CN"/>
              </w:rPr>
              <w:t>具有腐蚀性的化学品及试剂；</w:t>
            </w:r>
            <w:r>
              <w:rPr>
                <w:rFonts w:hint="eastAsia" w:ascii="宋体" w:hAnsi="宋体" w:eastAsia="宋体" w:cs="宋体"/>
                <w:sz w:val="21"/>
                <w:szCs w:val="21"/>
              </w:rPr>
              <w:t xml:space="preserve"> </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2.结构：双门，隔板可调</w:t>
            </w:r>
            <w:r>
              <w:rPr>
                <w:rFonts w:hint="eastAsia" w:ascii="宋体" w:hAnsi="宋体" w:eastAsia="宋体" w:cs="宋体"/>
                <w:sz w:val="21"/>
                <w:szCs w:val="21"/>
                <w:lang w:eastAsia="zh-CN"/>
              </w:rPr>
              <w:t>；</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层数≥5 层；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.耐酸碱腐蚀，瓷白色； </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.工艺：聚丙烯板材； </w:t>
            </w:r>
          </w:p>
          <w:p>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.锁具：双控锁</w:t>
            </w:r>
            <w:r>
              <w:rPr>
                <w:rFonts w:hint="eastAsia" w:ascii="宋体" w:hAnsi="宋体" w:eastAsia="宋体" w:cs="宋体"/>
                <w:sz w:val="21"/>
                <w:szCs w:val="21"/>
                <w:lang w:eastAsia="zh-CN"/>
              </w:rPr>
              <w:t>；</w:t>
            </w:r>
          </w:p>
          <w:p>
            <w:pPr>
              <w:bidi w:val="0"/>
              <w:spacing w:line="360" w:lineRule="auto"/>
              <w:rPr>
                <w:rFonts w:hint="default"/>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内部容积≥3</w:t>
            </w:r>
            <w:r>
              <w:rPr>
                <w:rFonts w:hint="eastAsia" w:ascii="宋体" w:hAnsi="宋体" w:eastAsia="宋体" w:cs="宋体"/>
                <w:sz w:val="21"/>
                <w:szCs w:val="21"/>
                <w:lang w:val="en-US" w:eastAsia="zh-CN"/>
              </w:rPr>
              <w:t>0</w:t>
            </w:r>
            <w:r>
              <w:rPr>
                <w:rFonts w:hint="eastAsia" w:ascii="宋体" w:hAnsi="宋体" w:eastAsia="宋体" w:cs="宋体"/>
                <w:sz w:val="21"/>
                <w:szCs w:val="21"/>
              </w:rPr>
              <w:t>0L</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序号2.PP药品柜</w:t>
      </w:r>
    </w:p>
    <w:tbl>
      <w:tblPr>
        <w:tblStyle w:val="25"/>
        <w:tblW w:w="10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09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PP药品柜/2台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09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jc w:val="center"/>
        </w:trPr>
        <w:tc>
          <w:tcPr>
            <w:tcW w:w="10940" w:type="dxa"/>
            <w:gridSpan w:val="2"/>
          </w:tcPr>
          <w:p>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numPr>
                <w:ilvl w:val="0"/>
                <w:numId w:val="0"/>
              </w:numPr>
              <w:spacing w:line="240" w:lineRule="auto"/>
              <w:rPr>
                <w:rFonts w:hint="eastAsia" w:ascii="宋体" w:hAnsi="宋体" w:eastAsia="宋体" w:cs="宋体"/>
                <w:sz w:val="21"/>
                <w:szCs w:val="21"/>
                <w:lang w:eastAsia="zh-CN"/>
              </w:rPr>
            </w:pPr>
            <w:r>
              <w:rPr>
                <w:rFonts w:hint="eastAsia" w:ascii="宋体" w:hAnsi="宋体" w:cs="宋体"/>
                <w:sz w:val="21"/>
                <w:szCs w:val="21"/>
                <w:vertAlign w:val="baseline"/>
                <w:lang w:val="en-US" w:eastAsia="zh-CN"/>
              </w:rPr>
              <w:t>一、</w:t>
            </w:r>
            <w:r>
              <w:rPr>
                <w:rFonts w:hint="eastAsia" w:ascii="宋体" w:hAnsi="宋体" w:eastAsia="宋体" w:cs="宋体"/>
                <w:sz w:val="21"/>
                <w:szCs w:val="21"/>
                <w:vertAlign w:val="baseline"/>
                <w:lang w:val="en-US" w:eastAsia="zh-CN"/>
              </w:rPr>
              <w:t>产品功能描述：</w:t>
            </w:r>
            <w:r>
              <w:rPr>
                <w:rFonts w:hint="eastAsia" w:ascii="宋体" w:hAnsi="宋体" w:eastAsia="宋体" w:cs="宋体"/>
                <w:sz w:val="21"/>
                <w:szCs w:val="21"/>
                <w:lang w:eastAsia="zh-CN"/>
              </w:rPr>
              <w:t>用于储存药品、试剂。</w:t>
            </w:r>
          </w:p>
          <w:p>
            <w:pPr>
              <w:numPr>
                <w:ilvl w:val="0"/>
                <w:numId w:val="0"/>
              </w:num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sz w:val="21"/>
                <w:szCs w:val="21"/>
                <w:lang w:eastAsia="zh-CN"/>
              </w:rPr>
              <w:t>用于储存药品、试剂。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用于储存药品、试剂；</w:t>
            </w:r>
          </w:p>
          <w:p>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2.结构：双门，隔板可调</w:t>
            </w:r>
            <w:r>
              <w:rPr>
                <w:rFonts w:hint="eastAsia" w:ascii="宋体" w:hAnsi="宋体" w:eastAsia="宋体" w:cs="宋体"/>
                <w:sz w:val="21"/>
                <w:szCs w:val="21"/>
                <w:lang w:eastAsia="zh-CN"/>
              </w:rPr>
              <w:t>；</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层数≥</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层； </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柜体、柜门及层板颜色：</w:t>
            </w:r>
            <w:r>
              <w:rPr>
                <w:rFonts w:hint="eastAsia" w:ascii="宋体" w:hAnsi="宋体" w:eastAsia="宋体" w:cs="宋体"/>
                <w:sz w:val="21"/>
                <w:szCs w:val="21"/>
              </w:rPr>
              <w:t xml:space="preserve">瓷白色； </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.工艺：聚丙烯板材； </w:t>
            </w:r>
          </w:p>
          <w:p>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.锁具：双控锁</w:t>
            </w:r>
            <w:r>
              <w:rPr>
                <w:rFonts w:hint="eastAsia" w:ascii="宋体" w:hAnsi="宋体" w:eastAsia="宋体" w:cs="宋体"/>
                <w:sz w:val="21"/>
                <w:szCs w:val="21"/>
                <w:lang w:eastAsia="zh-CN"/>
              </w:rPr>
              <w:t>；</w:t>
            </w:r>
          </w:p>
          <w:p>
            <w:pPr>
              <w:bidi w:val="0"/>
              <w:spacing w:line="240" w:lineRule="auto"/>
              <w:rPr>
                <w:rFonts w:hint="default"/>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内部容积≥3</w:t>
            </w:r>
            <w:r>
              <w:rPr>
                <w:rFonts w:hint="eastAsia" w:ascii="宋体" w:hAnsi="宋体" w:eastAsia="宋体" w:cs="宋体"/>
                <w:sz w:val="21"/>
                <w:szCs w:val="21"/>
                <w:lang w:val="en-US" w:eastAsia="zh-CN"/>
              </w:rPr>
              <w:t>0</w:t>
            </w:r>
            <w:r>
              <w:rPr>
                <w:rFonts w:hint="eastAsia" w:ascii="宋体" w:hAnsi="宋体" w:eastAsia="宋体" w:cs="宋体"/>
                <w:sz w:val="21"/>
                <w:szCs w:val="21"/>
              </w:rPr>
              <w:t>0L</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序号3.易燃品储存柜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项目名称及数量</w:t>
            </w:r>
          </w:p>
        </w:tc>
        <w:tc>
          <w:tcPr>
            <w:tcW w:w="7641"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易燃品储存柜/</w:t>
            </w:r>
            <w:r>
              <w:rPr>
                <w:rFonts w:hint="eastAsia" w:asciiTheme="minorEastAsia" w:hAnsiTheme="minorEastAsia" w:cstheme="minorEastAsia"/>
                <w:sz w:val="21"/>
                <w:szCs w:val="21"/>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预算单价</w:t>
            </w:r>
          </w:p>
        </w:tc>
        <w:tc>
          <w:tcPr>
            <w:tcW w:w="764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color w:val="000000"/>
                <w:sz w:val="21"/>
                <w:szCs w:val="21"/>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技术参数要求：</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一、产品功能描述：</w:t>
            </w:r>
            <w:r>
              <w:rPr>
                <w:rFonts w:hint="eastAsia" w:asciiTheme="minorEastAsia" w:hAnsiTheme="minorEastAsia" w:cstheme="minorEastAsia"/>
                <w:sz w:val="21"/>
                <w:szCs w:val="21"/>
                <w:lang w:val="en-US" w:eastAsia="zh-CN"/>
              </w:rPr>
              <w:t>为</w:t>
            </w:r>
            <w:r>
              <w:rPr>
                <w:rFonts w:hint="eastAsia" w:asciiTheme="minorEastAsia" w:hAnsiTheme="minorEastAsia" w:eastAsiaTheme="minorEastAsia" w:cstheme="minorEastAsia"/>
                <w:sz w:val="21"/>
                <w:szCs w:val="21"/>
                <w:lang w:val="en-US" w:eastAsia="zh-CN"/>
              </w:rPr>
              <w:t>可燃、易燃液体及化学品提供安全</w:t>
            </w:r>
            <w:r>
              <w:rPr>
                <w:rFonts w:hint="eastAsia" w:asciiTheme="minorEastAsia" w:hAnsiTheme="minorEastAsia" w:cstheme="minorEastAsia"/>
                <w:sz w:val="21"/>
                <w:szCs w:val="21"/>
                <w:lang w:val="en-US" w:eastAsia="zh-CN"/>
              </w:rPr>
              <w:t>存储</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二、产品用途描述：用于规范存储易燃易爆液体及危险化学品</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三、产品技术参数：</w:t>
            </w:r>
          </w:p>
          <w:p>
            <w:pPr>
              <w:pStyle w:val="2"/>
              <w:widowControl w:val="0"/>
              <w:numPr>
                <w:ilvl w:val="0"/>
                <w:numId w:val="4"/>
              </w:numPr>
              <w:spacing w:line="240" w:lineRule="auto"/>
              <w:ind w:left="425" w:leftChars="0" w:hanging="425"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具有防爆、防盗、阻燃、耐腐蚀等功能</w:t>
            </w:r>
          </w:p>
          <w:p>
            <w:pPr>
              <w:pStyle w:val="2"/>
              <w:widowControl w:val="0"/>
              <w:numPr>
                <w:ilvl w:val="0"/>
                <w:numId w:val="4"/>
              </w:numPr>
              <w:spacing w:line="240" w:lineRule="auto"/>
              <w:ind w:left="425" w:leftChars="0" w:hanging="425"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尺寸(H*W*D）:1650*860*860（±10%）</w:t>
            </w:r>
          </w:p>
          <w:p>
            <w:pPr>
              <w:pStyle w:val="2"/>
              <w:widowControl w:val="0"/>
              <w:numPr>
                <w:ilvl w:val="0"/>
                <w:numId w:val="4"/>
              </w:numPr>
              <w:spacing w:line="240" w:lineRule="auto"/>
              <w:ind w:left="425" w:leftChars="0" w:hanging="425"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规格:双门，手动</w:t>
            </w:r>
          </w:p>
          <w:p>
            <w:pPr>
              <w:pStyle w:val="2"/>
              <w:widowControl w:val="0"/>
              <w:numPr>
                <w:ilvl w:val="0"/>
                <w:numId w:val="4"/>
              </w:numPr>
              <w:spacing w:line="240" w:lineRule="auto"/>
              <w:ind w:left="425" w:leftChars="0" w:hanging="425"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三点式联动锁+挂锁</w:t>
            </w:r>
          </w:p>
          <w:p>
            <w:pPr>
              <w:pStyle w:val="2"/>
              <w:widowControl w:val="0"/>
              <w:numPr>
                <w:ilvl w:val="0"/>
                <w:numId w:val="4"/>
              </w:numPr>
              <w:spacing w:line="240" w:lineRule="auto"/>
              <w:ind w:left="425" w:leftChars="0" w:hanging="425"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层板:1块可调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9455" w:type="dxa"/>
            <w:gridSpan w:val="2"/>
          </w:tcPr>
          <w:p>
            <w:pP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售后服务要求：</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1.免费保修期：（全保，包含但不限于人工费、零配件更换、软件升级等各项费用）不</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Theme="minorEastAsia" w:hAnsiTheme="minorEastAsia" w:eastAsiaTheme="minorEastAsia" w:cs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Theme="minorEastAsia" w:hAnsiTheme="minorEastAsia" w:eastAsiaTheme="minorEastAsia" w:cs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Theme="minorEastAsia" w:hAnsiTheme="minorEastAsia" w:eastAsiaTheme="minorEastAsia" w:cstheme="minorEastAsia"/>
                <w:sz w:val="21"/>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Theme="minorEastAsia" w:hAnsiTheme="minorEastAsia" w:eastAsiaTheme="minorEastAsia" w:cstheme="minorEastAsia"/>
                <w:sz w:val="21"/>
                <w:szCs w:val="21"/>
                <w:highlight w:val="none"/>
                <w:lang w:eastAsia="zh-CN"/>
              </w:rPr>
              <w:t>设备校准：</w:t>
            </w:r>
            <w:r>
              <w:rPr>
                <w:rFonts w:hint="eastAsia" w:asciiTheme="minorEastAsia" w:hAnsiTheme="minorEastAsia" w:eastAsiaTheme="minorEastAsia" w:cstheme="minorEastAsia"/>
                <w:sz w:val="21"/>
                <w:szCs w:val="21"/>
                <w:highlight w:val="none"/>
                <w:lang w:val="en-US" w:eastAsia="zh-CN"/>
              </w:rPr>
              <w:t>需校准的实验室设备，</w:t>
            </w:r>
            <w:r>
              <w:rPr>
                <w:rFonts w:hint="eastAsia" w:asciiTheme="minorEastAsia" w:hAnsiTheme="minorEastAsia" w:eastAsiaTheme="minorEastAsia" w:cstheme="minorEastAsia"/>
                <w:sz w:val="21"/>
                <w:szCs w:val="21"/>
                <w:highlight w:val="none"/>
                <w:lang w:eastAsia="zh-CN"/>
              </w:rPr>
              <w:t>投标人提供每年一次设备校准，免费提供设备校准所需的试剂及耗材，并提供校准报告。如设备维修后需校准，</w:t>
            </w:r>
            <w:r>
              <w:rPr>
                <w:rFonts w:hint="eastAsia" w:asciiTheme="minorEastAsia" w:hAnsiTheme="minorEastAsia" w:eastAsiaTheme="minorEastAsia" w:cstheme="minorEastAsia"/>
                <w:sz w:val="21"/>
                <w:szCs w:val="21"/>
                <w:highlight w:val="none"/>
                <w:lang w:val="en-US" w:eastAsia="zh-CN"/>
              </w:rPr>
              <w:t>也免费提供以上服务</w:t>
            </w:r>
            <w:r>
              <w:rPr>
                <w:rFonts w:hint="eastAsia" w:asciiTheme="minorEastAsia" w:hAnsiTheme="minorEastAsia" w:eastAsiaTheme="minorEastAsia" w:cstheme="minorEastAsia"/>
                <w:sz w:val="21"/>
                <w:szCs w:val="21"/>
                <w:highlight w:val="none"/>
                <w:lang w:eastAsia="zh-CN"/>
              </w:rPr>
              <w:t>；</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Theme="minorEastAsia" w:hAnsiTheme="minorEastAsia" w:eastAsiaTheme="minorEastAsia" w:cs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Theme="minorEastAsia" w:hAnsiTheme="minorEastAsia" w:eastAsiaTheme="minorEastAsia" w:cstheme="minorEastAsia"/>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Theme="minorEastAsia" w:hAnsiTheme="minorEastAsia" w:eastAsiaTheme="minorEastAsia" w:cstheme="minorEastAsia"/>
                <w:sz w:val="21"/>
                <w:szCs w:val="21"/>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Theme="minorEastAsia" w:hAnsiTheme="minorEastAsia" w:eastAsiaTheme="minorEastAsia" w:cstheme="minorEastAsia"/>
                <w:sz w:val="21"/>
                <w:szCs w:val="21"/>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w:t>
            </w:r>
            <w:r>
              <w:rPr>
                <w:rFonts w:hint="eastAsia" w:asciiTheme="minorEastAsia" w:hAnsiTheme="minorEastAsia" w:eastAsiaTheme="minorEastAsia" w:cs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序号4.通风柜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通风柜/1台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一、产品功能描述：在病理室用于易挥发有毒有害试剂的配置及应用等。</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二、产品用途描述：在病理室用于易挥发有毒有害试剂的配置及应用等。</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shd w:val="clea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1、柜体高2.23米，长2米，宽0.75米，实验台距地面高0.82米（以实际现场测量为准）</w:t>
            </w:r>
          </w:p>
          <w:p>
            <w:pPr>
              <w:shd w:val="clea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2、可视玻璃门：5mm钢化玻璃</w:t>
            </w:r>
          </w:p>
          <w:p>
            <w:pPr>
              <w:shd w:val="clea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3、照明强度≥300lux</w:t>
            </w:r>
          </w:p>
          <w:p>
            <w:pPr>
              <w:shd w:val="clea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4、操作台面具有良好的防水、防酸碱性</w:t>
            </w:r>
          </w:p>
          <w:p>
            <w:pPr>
              <w:shd w:val="clea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5、噪音：≤70dB</w:t>
            </w:r>
          </w:p>
          <w:p>
            <w:pPr>
              <w:shd w:val="clear"/>
              <w:rPr>
                <w:rFonts w:hint="default"/>
                <w:lang w:val="en-US" w:eastAsia="zh-CN"/>
              </w:rPr>
            </w:pPr>
            <w:r>
              <w:rPr>
                <w:rFonts w:hint="eastAsia" w:ascii="宋体" w:hAnsi="宋体" w:eastAsia="宋体" w:cs="宋体"/>
                <w:highlight w:val="none"/>
                <w:vertAlign w:val="baseline"/>
                <w:lang w:val="en-US" w:eastAsia="zh-CN"/>
              </w:rPr>
              <w:t>6、表面风速：≥0.5m/s，排风量：≥1100m³/h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序号5.切片柜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切片柜/1组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shd w:val="clear" w:color="auto" w:fill="auto"/>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iCs w:val="0"/>
                <w:color w:val="000000"/>
                <w:kern w:val="0"/>
                <w:sz w:val="22"/>
                <w:szCs w:val="22"/>
                <w:u w:val="none"/>
                <w:lang w:val="en-US" w:eastAsia="zh-CN" w:bidi="ar"/>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技术参数要求：</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一、产品功能描述：用于存放切片</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二、产品用途描述：用于存放切片</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三、产品技术参数：</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 1、产品柜体及抽屉均采用冷轧钢板，钢板热焊接整体成形，防腐防锈，抗酸抗碱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2、抽屉自动归位功能，柜体经防锈处理，静电喷塑工艺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3、连体滑轨，配高强度滑轮，抽屉推拉顺畅，同时防止抽屉拉出来过长造成意外跌落</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4、切片柜每组合约放载玻片≥4万张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5、每节（件）病理蜡块柜规格相同，可自由组合</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eastAsia="宋体" w:asciiTheme="minorHAnsi" w:hAnsiTheme="minorHAnsi" w:cstheme="minorBidi"/>
                <w:kern w:val="2"/>
                <w:sz w:val="21"/>
                <w:szCs w:val="24"/>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、抽屉载荷重量：≥20kg</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序号6.蜡块柜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蜡块柜/</w:t>
            </w:r>
            <w:r>
              <w:rPr>
                <w:rFonts w:hint="eastAsia" w:ascii="宋体" w:hAnsi="宋体" w:cs="宋体"/>
                <w:vertAlign w:val="baseline"/>
                <w:lang w:val="en-US" w:eastAsia="zh-CN"/>
              </w:rPr>
              <w:t>4</w:t>
            </w:r>
            <w:r>
              <w:rPr>
                <w:rFonts w:hint="eastAsia" w:ascii="宋体" w:hAnsi="宋体" w:eastAsia="宋体" w:cs="宋体"/>
                <w:vertAlign w:val="baseline"/>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shd w:val="clear" w:color="auto" w:fill="auto"/>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iCs w:val="0"/>
                <w:color w:val="000000"/>
                <w:kern w:val="0"/>
                <w:sz w:val="22"/>
                <w:szCs w:val="22"/>
                <w:u w:val="none"/>
                <w:lang w:val="en-US" w:eastAsia="zh-CN" w:bidi="ar"/>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一、产品功能描述：用于存放蜡块</w:t>
            </w:r>
          </w:p>
          <w:p>
            <w:pPr>
              <w:spacing w:line="240" w:lineRule="auto"/>
              <w:rPr>
                <w:rFonts w:hint="eastAsia"/>
                <w:lang w:val="en-US" w:eastAsia="zh-CN"/>
              </w:rPr>
            </w:pPr>
            <w:r>
              <w:rPr>
                <w:rFonts w:hint="eastAsia"/>
                <w:lang w:val="en-US" w:eastAsia="zh-CN"/>
              </w:rPr>
              <w:t>二、产品用途描述：用于存放蜡块</w:t>
            </w:r>
            <w:bookmarkStart w:id="15" w:name="_GoBack"/>
            <w:bookmarkEnd w:id="15"/>
          </w:p>
          <w:p>
            <w:pPr>
              <w:spacing w:line="240" w:lineRule="auto"/>
              <w:rPr>
                <w:rFonts w:hint="eastAsia"/>
                <w:lang w:val="en-US" w:eastAsia="zh-CN"/>
              </w:rPr>
            </w:pPr>
            <w:r>
              <w:rPr>
                <w:rFonts w:hint="eastAsia"/>
                <w:lang w:val="en-US" w:eastAsia="zh-CN"/>
              </w:rPr>
              <w:t>三、产品技术参数：</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材质要求：蜡块柜整体选材为冷轧钢板，板材厚度≥1mm,表面静电粉末喷塑</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w:t>
            </w:r>
            <w:r>
              <w:rPr>
                <w:rFonts w:hint="eastAsia" w:asciiTheme="minorHAnsi" w:hAnsiTheme="minorHAnsi" w:eastAsiaTheme="minorEastAsia" w:cstheme="minorBidi"/>
                <w:kern w:val="2"/>
                <w:sz w:val="21"/>
                <w:szCs w:val="24"/>
                <w:lang w:val="en-US" w:eastAsia="zh-CN" w:bidi="ar-SA"/>
              </w:rPr>
              <w:t>柜门须</w:t>
            </w:r>
            <w:r>
              <w:rPr>
                <w:rFonts w:hint="default" w:asciiTheme="minorHAnsi" w:hAnsiTheme="minorHAnsi" w:eastAsiaTheme="minorEastAsia" w:cstheme="minorBidi"/>
                <w:kern w:val="2"/>
                <w:sz w:val="21"/>
                <w:szCs w:val="24"/>
                <w:lang w:val="en-US" w:eastAsia="zh-CN" w:bidi="ar-SA"/>
              </w:rPr>
              <w:t>带锁，内</w:t>
            </w:r>
            <w:r>
              <w:rPr>
                <w:rFonts w:hint="eastAsia" w:asciiTheme="minorHAnsi" w:hAnsiTheme="minorHAnsi" w:eastAsiaTheme="minorEastAsia" w:cstheme="minorBidi"/>
                <w:kern w:val="2"/>
                <w:sz w:val="21"/>
                <w:szCs w:val="24"/>
                <w:lang w:val="en-US" w:eastAsia="zh-CN" w:bidi="ar-SA"/>
              </w:rPr>
              <w:t>由</w:t>
            </w:r>
            <w:r>
              <w:rPr>
                <w:rFonts w:hint="default" w:asciiTheme="minorHAnsi" w:hAnsiTheme="minorHAnsi" w:eastAsiaTheme="minorEastAsia" w:cstheme="minorBidi"/>
                <w:kern w:val="2"/>
                <w:sz w:val="21"/>
                <w:szCs w:val="24"/>
                <w:lang w:val="en-US" w:eastAsia="zh-CN" w:bidi="ar-SA"/>
              </w:rPr>
              <w:t>存档盒及滑道等组成。</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存档柜底托:</w:t>
            </w:r>
            <w:r>
              <w:rPr>
                <w:rFonts w:hint="eastAsia" w:asciiTheme="minorHAnsi" w:hAnsiTheme="minorHAnsi" w:eastAsiaTheme="minorEastAsia" w:cstheme="minorBidi"/>
                <w:kern w:val="2"/>
                <w:sz w:val="21"/>
                <w:szCs w:val="24"/>
                <w:lang w:val="en-US" w:eastAsia="zh-CN" w:bidi="ar-SA"/>
              </w:rPr>
              <w:t>由</w:t>
            </w:r>
            <w:r>
              <w:rPr>
                <w:rFonts w:hint="default" w:asciiTheme="minorHAnsi" w:hAnsiTheme="minorHAnsi" w:eastAsiaTheme="minorEastAsia" w:cstheme="minorBidi"/>
                <w:kern w:val="2"/>
                <w:sz w:val="21"/>
                <w:szCs w:val="24"/>
                <w:lang w:val="en-US" w:eastAsia="zh-CN" w:bidi="ar-SA"/>
              </w:rPr>
              <w:t>四个轮子和高强度的金属组成</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为整体移动提供方便</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存档柜内存档盒</w:t>
            </w:r>
            <w:r>
              <w:rPr>
                <w:rFonts w:hint="eastAsia" w:asciiTheme="minorHAnsi" w:hAnsiTheme="minorHAnsi" w:eastAsiaTheme="minorEastAsia" w:cstheme="minorBidi"/>
                <w:kern w:val="2"/>
                <w:sz w:val="21"/>
                <w:szCs w:val="24"/>
                <w:lang w:val="en-US" w:eastAsia="zh-CN" w:bidi="ar-SA"/>
              </w:rPr>
              <w:t>总数</w:t>
            </w:r>
            <w:r>
              <w:rPr>
                <w:rFonts w:hint="default" w:asciiTheme="minorHAnsi" w:hAnsiTheme="minorHAnsi" w:eastAsiaTheme="minorEastAsia" w:cstheme="minorBidi"/>
                <w:kern w:val="2"/>
                <w:sz w:val="21"/>
                <w:szCs w:val="24"/>
                <w:lang w:val="en-US" w:eastAsia="zh-CN" w:bidi="ar-SA"/>
              </w:rPr>
              <w:t>:≥88个</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存档数量:≥20000块包埋盒蜡块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6"/>
      <w:bookmarkEnd w:id="7"/>
      <w:bookmarkEnd w:id="8"/>
      <w:bookmarkEnd w:id="9"/>
      <w:bookmarkEnd w:id="10"/>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color w:val="FF0000"/>
          <w:sz w:val="24"/>
          <w:szCs w:val="24"/>
          <w:highlight w:val="none"/>
          <w:lang w:val="en-US" w:eastAsia="zh-CN"/>
        </w:rPr>
        <w:t>164</w:t>
      </w:r>
      <w:r>
        <w:rPr>
          <w:rFonts w:hint="eastAsia" w:ascii="宋体" w:hAnsi="宋体" w:eastAsia="宋体" w:cs="宋体"/>
          <w:b w:val="0"/>
          <w:bCs w:val="0"/>
          <w:color w:val="FF0000"/>
          <w:sz w:val="24"/>
          <w:szCs w:val="24"/>
          <w:highlight w:val="none"/>
          <w:lang w:val="en-US" w:eastAsia="zh-CN"/>
        </w:rPr>
        <w:t>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81B609"/>
    <w:multiLevelType w:val="singleLevel"/>
    <w:tmpl w:val="BA81B609"/>
    <w:lvl w:ilvl="0" w:tentative="0">
      <w:start w:val="1"/>
      <w:numFmt w:val="decimal"/>
      <w:lvlText w:val="%1."/>
      <w:lvlJc w:val="left"/>
      <w:pPr>
        <w:ind w:left="425" w:hanging="425"/>
      </w:pPr>
      <w:rPr>
        <w:rFonts w:hint="default"/>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ACCDB7"/>
    <w:multiLevelType w:val="singleLevel"/>
    <w:tmpl w:val="35ACCDB7"/>
    <w:lvl w:ilvl="0" w:tentative="0">
      <w:start w:val="1"/>
      <w:numFmt w:val="decimal"/>
      <w:lvlText w:val="%1."/>
      <w:lvlJc w:val="left"/>
      <w:pPr>
        <w:ind w:left="425" w:hanging="425"/>
      </w:pPr>
      <w:rPr>
        <w:rFonts w:hint="default"/>
      </w:r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9F78DB"/>
    <w:multiLevelType w:val="singleLevel"/>
    <w:tmpl w:val="6D9F78DB"/>
    <w:lvl w:ilvl="0" w:tentative="0">
      <w:start w:val="1"/>
      <w:numFmt w:val="chineseCounting"/>
      <w:suff w:val="nothing"/>
      <w:lvlText w:val="%1、"/>
      <w:lvlJc w:val="left"/>
      <w:rPr>
        <w:rFonts w:hint="eastAsia"/>
      </w:rPr>
    </w:lvl>
  </w:abstractNum>
  <w:num w:numId="1">
    <w:abstractNumId w:val="7"/>
  </w:num>
  <w:num w:numId="2">
    <w:abstractNumId w:val="2"/>
  </w:num>
  <w:num w:numId="3">
    <w:abstractNumId w:val="9"/>
  </w:num>
  <w:num w:numId="4">
    <w:abstractNumId w:val="1"/>
  </w:num>
  <w:num w:numId="5">
    <w:abstractNumId w:val="5"/>
  </w:num>
  <w:num w:numId="6">
    <w:abstractNumId w:val="3"/>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202EA"/>
    <w:rsid w:val="02184C85"/>
    <w:rsid w:val="022E27E0"/>
    <w:rsid w:val="0239119C"/>
    <w:rsid w:val="02C927A1"/>
    <w:rsid w:val="035A6EFE"/>
    <w:rsid w:val="041C58C0"/>
    <w:rsid w:val="042515B8"/>
    <w:rsid w:val="044B0248"/>
    <w:rsid w:val="0453572F"/>
    <w:rsid w:val="04E9700E"/>
    <w:rsid w:val="0503352A"/>
    <w:rsid w:val="05104339"/>
    <w:rsid w:val="05315C8E"/>
    <w:rsid w:val="054D0FCA"/>
    <w:rsid w:val="05A35726"/>
    <w:rsid w:val="05B227CB"/>
    <w:rsid w:val="05FE23E4"/>
    <w:rsid w:val="0611391C"/>
    <w:rsid w:val="065B5E71"/>
    <w:rsid w:val="0683159B"/>
    <w:rsid w:val="06832A9D"/>
    <w:rsid w:val="06B71989"/>
    <w:rsid w:val="06DA06A2"/>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286281"/>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BA5E31"/>
    <w:rsid w:val="0EFC3CBE"/>
    <w:rsid w:val="0F7861ED"/>
    <w:rsid w:val="0FA60903"/>
    <w:rsid w:val="105772C0"/>
    <w:rsid w:val="1069002A"/>
    <w:rsid w:val="106A7166"/>
    <w:rsid w:val="10AC5536"/>
    <w:rsid w:val="111642F6"/>
    <w:rsid w:val="111D5F25"/>
    <w:rsid w:val="113810CC"/>
    <w:rsid w:val="11A82E40"/>
    <w:rsid w:val="11D30171"/>
    <w:rsid w:val="11E37B79"/>
    <w:rsid w:val="11EE297F"/>
    <w:rsid w:val="12641821"/>
    <w:rsid w:val="12CB3CD0"/>
    <w:rsid w:val="13A75929"/>
    <w:rsid w:val="13B3480E"/>
    <w:rsid w:val="13BB7C9E"/>
    <w:rsid w:val="142741EB"/>
    <w:rsid w:val="153D7142"/>
    <w:rsid w:val="161C2B3E"/>
    <w:rsid w:val="16216BFD"/>
    <w:rsid w:val="165E228C"/>
    <w:rsid w:val="16BE0C5C"/>
    <w:rsid w:val="16D51FA8"/>
    <w:rsid w:val="16E05795"/>
    <w:rsid w:val="16EF13A2"/>
    <w:rsid w:val="16F448A7"/>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773F7"/>
    <w:rsid w:val="20497CF3"/>
    <w:rsid w:val="20971F10"/>
    <w:rsid w:val="20CA0488"/>
    <w:rsid w:val="21341782"/>
    <w:rsid w:val="21554A8C"/>
    <w:rsid w:val="215F0962"/>
    <w:rsid w:val="217F37F1"/>
    <w:rsid w:val="21801CF9"/>
    <w:rsid w:val="21886884"/>
    <w:rsid w:val="2238215B"/>
    <w:rsid w:val="223D7288"/>
    <w:rsid w:val="22A125CC"/>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8841FE"/>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145BEE"/>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2E7D91"/>
    <w:rsid w:val="4B5045E6"/>
    <w:rsid w:val="4B8E6E3D"/>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10B60"/>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BC3649"/>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816053"/>
    <w:rsid w:val="5C9820E8"/>
    <w:rsid w:val="5DCD0D2F"/>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8E5F8F"/>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674A23"/>
    <w:rsid w:val="659A15A4"/>
    <w:rsid w:val="65C60373"/>
    <w:rsid w:val="65D32FF8"/>
    <w:rsid w:val="65E13312"/>
    <w:rsid w:val="66B7736C"/>
    <w:rsid w:val="66EE1645"/>
    <w:rsid w:val="670C4881"/>
    <w:rsid w:val="670E33AA"/>
    <w:rsid w:val="672D2639"/>
    <w:rsid w:val="673B1C09"/>
    <w:rsid w:val="67526DE5"/>
    <w:rsid w:val="675E140E"/>
    <w:rsid w:val="67761EF1"/>
    <w:rsid w:val="6786139C"/>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124893"/>
    <w:rsid w:val="6F2A5003"/>
    <w:rsid w:val="70231548"/>
    <w:rsid w:val="70931317"/>
    <w:rsid w:val="70DF7B65"/>
    <w:rsid w:val="71A0676C"/>
    <w:rsid w:val="71EA7EE3"/>
    <w:rsid w:val="720832B1"/>
    <w:rsid w:val="72386389"/>
    <w:rsid w:val="72E661C7"/>
    <w:rsid w:val="734E6AA7"/>
    <w:rsid w:val="736F44C6"/>
    <w:rsid w:val="738713C9"/>
    <w:rsid w:val="73AF7CC3"/>
    <w:rsid w:val="73E012D1"/>
    <w:rsid w:val="73FF1C70"/>
    <w:rsid w:val="7439413B"/>
    <w:rsid w:val="743E3F7D"/>
    <w:rsid w:val="74D95973"/>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7C7053"/>
    <w:rsid w:val="789F2E9D"/>
    <w:rsid w:val="79116E24"/>
    <w:rsid w:val="7998662A"/>
    <w:rsid w:val="799D03F5"/>
    <w:rsid w:val="79B704A0"/>
    <w:rsid w:val="79FC47F9"/>
    <w:rsid w:val="7A0D464B"/>
    <w:rsid w:val="7A350AD8"/>
    <w:rsid w:val="7A3945A5"/>
    <w:rsid w:val="7A510139"/>
    <w:rsid w:val="7A9E1B74"/>
    <w:rsid w:val="7AE21D55"/>
    <w:rsid w:val="7B423F0C"/>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240DB0"/>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小标题 2"/>
    <w:basedOn w:val="1"/>
    <w:qFormat/>
    <w:uiPriority w:val="0"/>
    <w:pPr>
      <w:autoSpaceDE w:val="0"/>
      <w:autoSpaceDN w:val="0"/>
      <w:adjustRightInd w:val="0"/>
    </w:pPr>
    <w:rPr>
      <w:rFonts w:ascii="黑体" w:eastAsia="黑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2025-09-09T03:11:31Z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