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C00BB24">
      <w:pPr>
        <w:keepNext w:val="0"/>
        <w:keepLines w:val="0"/>
        <w:pageBreakBefore w:val="0"/>
        <w:widowControl w:val="0"/>
        <w:kinsoku/>
        <w:wordWrap/>
        <w:overflowPunct/>
        <w:topLinePunct w:val="0"/>
        <w:autoSpaceDE/>
        <w:autoSpaceDN/>
        <w:bidi w:val="0"/>
        <w:adjustRightInd/>
        <w:snapToGrid w:val="0"/>
        <w:spacing w:line="480" w:lineRule="auto"/>
        <w:ind w:left="840" w:leftChars="400" w:firstLine="221" w:firstLineChars="50"/>
        <w:jc w:val="center"/>
        <w:textAlignment w:val="auto"/>
        <w:rPr>
          <w:rFonts w:hint="eastAsia" w:hAnsi="宋体"/>
          <w:b/>
          <w:bCs/>
          <w:color w:val="auto"/>
          <w:sz w:val="40"/>
          <w:szCs w:val="32"/>
          <w:highlight w:val="none"/>
        </w:rPr>
      </w:pPr>
      <w:r>
        <w:rPr>
          <w:rFonts w:hint="eastAsia" w:hAnsi="宋体"/>
          <w:b/>
          <w:bCs/>
          <w:color w:val="auto"/>
          <w:sz w:val="44"/>
          <w:szCs w:val="44"/>
          <w:highlight w:val="none"/>
        </w:rPr>
        <w:t>吉林大学第一医院</w:t>
      </w:r>
      <w:r>
        <w:rPr>
          <w:rFonts w:hint="eastAsia" w:hAnsi="宋体"/>
          <w:b/>
          <w:bCs/>
          <w:color w:val="auto"/>
          <w:sz w:val="44"/>
          <w:szCs w:val="44"/>
          <w:highlight w:val="none"/>
          <w:lang w:eastAsia="zh-CN"/>
        </w:rPr>
        <w:t>25-YJ-117</w:t>
      </w:r>
      <w:r>
        <w:rPr>
          <w:rFonts w:hint="eastAsia" w:hAnsi="宋体"/>
          <w:b/>
          <w:bCs/>
          <w:color w:val="auto"/>
          <w:sz w:val="44"/>
          <w:szCs w:val="44"/>
          <w:highlight w:val="none"/>
          <w:lang w:val="en-US" w:eastAsia="zh-CN"/>
        </w:rPr>
        <w:t>无菌柜、清洁柜等设备</w:t>
      </w:r>
      <w:r>
        <w:rPr>
          <w:rFonts w:hint="eastAsia" w:hAnsi="宋体"/>
          <w:b/>
          <w:bCs/>
          <w:color w:val="auto"/>
          <w:sz w:val="44"/>
          <w:szCs w:val="44"/>
          <w:highlight w:val="none"/>
        </w:rPr>
        <w:t>采购项目</w:t>
      </w:r>
    </w:p>
    <w:p w14:paraId="0D49C03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1C68274">
      <w:pPr>
        <w:rPr>
          <w:rFonts w:asciiTheme="majorEastAsia" w:hAnsiTheme="majorEastAsia" w:eastAsiaTheme="majorEastAsia" w:cstheme="majorEastAsia"/>
          <w:color w:val="000000" w:themeColor="text1"/>
          <w:highlight w:val="none"/>
          <w14:textFill>
            <w14:solidFill>
              <w14:schemeClr w14:val="tx1"/>
            </w14:solidFill>
          </w14:textFill>
        </w:rPr>
      </w:pP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3A749D7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4"/>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第一章 吉林大学第一医院</w:t>
      </w:r>
      <w:r>
        <w:rPr>
          <w:rFonts w:hint="eastAsia" w:asciiTheme="majorEastAsia" w:hAnsiTheme="majorEastAsia" w:eastAsiaTheme="majorEastAsia" w:cstheme="majorEastAsia"/>
          <w:szCs w:val="28"/>
          <w:highlight w:val="none"/>
          <w:lang w:val="en-US" w:eastAsia="zh-CN"/>
        </w:rPr>
        <w:t>25-YJ-117</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D8EDD88">
      <w:pPr>
        <w:pStyle w:val="4"/>
        <w:widowControl/>
        <w:numPr>
          <w:ilvl w:val="0"/>
          <w:numId w:val="2"/>
        </w:numPr>
        <w:shd w:val="clear" w:color="auto" w:fill="F6FCF2"/>
        <w:spacing w:before="0" w:beforeAutospacing="0" w:after="0" w:afterAutospacing="0" w:line="450" w:lineRule="atLeast"/>
        <w:ind w:left="737" w:leftChars="0" w:firstLine="0" w:firstLineChars="0"/>
        <w:jc w:val="center"/>
        <w:rPr>
          <w:rFonts w:cs="宋体"/>
          <w:sz w:val="33"/>
          <w:szCs w:val="33"/>
          <w:highlight w:val="none"/>
        </w:rPr>
      </w:pPr>
      <w:bookmarkStart w:id="0" w:name="_Toc7300"/>
      <w:bookmarkStart w:id="1" w:name="_Toc28895"/>
      <w:bookmarkStart w:id="2" w:name="_Toc2118"/>
      <w:bookmarkStart w:id="3" w:name="_Toc11932"/>
      <w:bookmarkStart w:id="4" w:name="_Toc24593"/>
      <w:r>
        <w:rPr>
          <w:rFonts w:hint="eastAsia" w:cs="宋体"/>
          <w:sz w:val="33"/>
          <w:szCs w:val="33"/>
          <w:highlight w:val="none"/>
          <w:lang w:val="en-US" w:eastAsia="zh-CN"/>
        </w:rPr>
        <w:t xml:space="preserve">   吉林大学第一医院25-YJ-117无菌柜、清洁柜等设备采购项目</w:t>
      </w:r>
    </w:p>
    <w:p w14:paraId="5151B2C9">
      <w:pPr>
        <w:pStyle w:val="4"/>
        <w:widowControl/>
        <w:numPr>
          <w:ilvl w:val="0"/>
          <w:numId w:val="0"/>
        </w:numPr>
        <w:shd w:val="clear" w:color="auto" w:fill="F6FCF2"/>
        <w:spacing w:before="0" w:beforeAutospacing="0" w:after="0" w:afterAutospacing="0" w:line="450" w:lineRule="atLeast"/>
        <w:ind w:left="737" w:leftChars="0"/>
        <w:jc w:val="center"/>
        <w:rPr>
          <w:rFonts w:cs="宋体"/>
          <w:sz w:val="33"/>
          <w:szCs w:val="33"/>
          <w:highlight w:val="none"/>
        </w:rPr>
      </w:pP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eastAsia="zh-CN"/>
        </w:rPr>
        <w:t>吉林大学第一医院25-YJ-117无菌柜、清洁柜等设备采购项目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09</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p>
    <w:p w14:paraId="42D5D0C1">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25-YJ-117</w:t>
      </w:r>
    </w:p>
    <w:p w14:paraId="13ADB96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吉林大学第一医院25-YJ-117无菌柜、清洁柜等设备采购项目</w:t>
      </w:r>
    </w:p>
    <w:p w14:paraId="220920D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E86731D">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1EA1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3"/>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983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0ADEDD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6F56E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无菌柜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57059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4767B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0.5万元</w:t>
            </w:r>
          </w:p>
        </w:tc>
      </w:tr>
      <w:tr w14:paraId="1677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125032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0F1F769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清洁柜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62006EC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3D767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0.5万元</w:t>
            </w:r>
          </w:p>
        </w:tc>
      </w:tr>
      <w:tr w14:paraId="1151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DBD7C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0BA0C65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酒精储存柜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1E9EBC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249234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0.6万元</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2"/>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14:paraId="56D59CE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4"/>
        <w:pageBreakBefore w:val="0"/>
        <w:widowControl/>
        <w:kinsoku/>
        <w:wordWrap/>
        <w:overflowPunct/>
        <w:topLinePunct w:val="0"/>
        <w:autoSpaceDE/>
        <w:autoSpaceDN/>
        <w:bidi w:val="0"/>
        <w:snapToGrid/>
        <w:spacing w:before="0" w:beforeAutospacing="0" w:after="0" w:afterAutospacing="0" w:line="24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14:paraId="5A0499A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5A4638E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时间：2025年07月18日09时40分</w:t>
      </w:r>
    </w:p>
    <w:p w14:paraId="1A1EED4C">
      <w:pPr>
        <w:pStyle w:val="12"/>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7B332DC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电子文档命名：25-YJ-117（代理商简称）注册证XX页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w:t>
      </w:r>
      <w:r>
        <w:rPr>
          <w:rFonts w:hint="eastAsia" w:ascii="宋体" w:hAnsi="宋体" w:cs="宋体"/>
          <w:kern w:val="0"/>
          <w:sz w:val="24"/>
          <w:szCs w:val="24"/>
          <w:highlight w:val="none"/>
          <w:lang w:val="en-US" w:eastAsia="zh-CN" w:bidi="ar"/>
        </w:rPr>
        <w:t>7</w:t>
      </w:r>
      <w:r>
        <w:rPr>
          <w:rFonts w:hint="eastAsia" w:ascii="宋体" w:hAnsi="宋体" w:eastAsia="宋体" w:cs="宋体"/>
          <w:kern w:val="0"/>
          <w:sz w:val="24"/>
          <w:szCs w:val="24"/>
          <w:highlight w:val="none"/>
          <w:lang w:val="en-US" w:eastAsia="zh-CN" w:bidi="ar"/>
        </w:rPr>
        <w:t>月</w:t>
      </w:r>
      <w:r>
        <w:rPr>
          <w:rFonts w:hint="eastAsia" w:ascii="宋体" w:hAnsi="宋体" w:cs="宋体"/>
          <w:kern w:val="0"/>
          <w:sz w:val="24"/>
          <w:szCs w:val="24"/>
          <w:highlight w:val="none"/>
          <w:lang w:val="en-US" w:eastAsia="zh-CN" w:bidi="ar"/>
        </w:rPr>
        <w:t>14</w:t>
      </w:r>
      <w:r>
        <w:rPr>
          <w:rFonts w:hint="eastAsia" w:ascii="宋体" w:hAnsi="宋体" w:eastAsia="宋体" w:cs="宋体"/>
          <w:kern w:val="0"/>
          <w:sz w:val="24"/>
          <w:szCs w:val="24"/>
          <w:highlight w:val="none"/>
          <w:lang w:val="en-US" w:eastAsia="zh-CN" w:bidi="ar"/>
        </w:rPr>
        <w:t>日11时00分前将响应文件加盖公章、签字的正本扫描件PDF版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2"/>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AB2FD37">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B8385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2"/>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2"/>
        <w:widowControl/>
        <w:numPr>
          <w:ilvl w:val="0"/>
          <w:numId w:val="0"/>
        </w:numPr>
        <w:spacing w:before="0" w:beforeAutospacing="0" w:after="0" w:afterAutospacing="0" w:line="315" w:lineRule="atLeast"/>
        <w:ind w:right="0" w:rightChars="0"/>
        <w:rPr>
          <w:rFonts w:hint="default" w:ascii="宋体" w:hAnsi="宋体" w:cs="宋体"/>
          <w:lang w:val="en-US" w:eastAsia="zh-CN"/>
        </w:rPr>
      </w:pPr>
    </w:p>
    <w:p w14:paraId="45DEBCA2">
      <w:pPr>
        <w:pStyle w:val="12"/>
        <w:widowControl/>
        <w:numPr>
          <w:ilvl w:val="0"/>
          <w:numId w:val="0"/>
        </w:numPr>
        <w:spacing w:before="0" w:beforeAutospacing="0" w:after="0" w:afterAutospacing="0" w:line="315" w:lineRule="atLeast"/>
        <w:ind w:right="0" w:rightChars="0"/>
        <w:rPr>
          <w:rFonts w:hint="default" w:ascii="宋体" w:hAnsi="宋体" w:cs="宋体"/>
          <w:lang w:val="en-US" w:eastAsia="zh-CN"/>
        </w:rPr>
      </w:pPr>
    </w:p>
    <w:p w14:paraId="7BB4F9EC">
      <w:pPr>
        <w:pStyle w:val="12"/>
        <w:widowControl/>
        <w:numPr>
          <w:ilvl w:val="0"/>
          <w:numId w:val="0"/>
        </w:numPr>
        <w:spacing w:before="0" w:beforeAutospacing="0" w:after="0" w:afterAutospacing="0" w:line="315" w:lineRule="atLeast"/>
        <w:ind w:right="0" w:rightChars="0"/>
        <w:rPr>
          <w:rFonts w:hint="default" w:ascii="宋体" w:hAnsi="宋体" w:cs="宋体"/>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122CB431">
      <w:pPr>
        <w:ind w:firstLine="562" w:firstLineChars="200"/>
        <w:jc w:val="lef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1.无菌柜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0BFE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3776EB88">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2642AC56">
            <w:pPr>
              <w:jc w:val="center"/>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无菌柜/2个</w:t>
            </w:r>
          </w:p>
        </w:tc>
      </w:tr>
      <w:tr w14:paraId="606B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9455" w:type="dxa"/>
            <w:gridSpan w:val="2"/>
          </w:tcPr>
          <w:p w14:paraId="266FECA2">
            <w:pPr>
              <w:spacing w:line="360" w:lineRule="auto"/>
              <w:rPr>
                <w:rFonts w:hint="eastAsia"/>
                <w:b/>
                <w:bCs/>
                <w:lang w:val="en-US" w:eastAsia="zh-CN"/>
              </w:rPr>
            </w:pPr>
            <w:r>
              <w:rPr>
                <w:rFonts w:hint="eastAsia"/>
                <w:b/>
                <w:bCs/>
                <w:lang w:val="en-US" w:eastAsia="zh-CN"/>
              </w:rPr>
              <w:t>技术参数要求：</w:t>
            </w:r>
          </w:p>
          <w:p w14:paraId="56EADED1">
            <w:pPr>
              <w:spacing w:line="360" w:lineRule="auto"/>
              <w:rPr>
                <w:rFonts w:hint="default"/>
                <w:lang w:val="en-US" w:eastAsia="zh-CN"/>
              </w:rPr>
            </w:pPr>
            <w:r>
              <w:rPr>
                <w:rFonts w:hint="eastAsia"/>
                <w:lang w:val="en-US" w:eastAsia="zh-CN"/>
              </w:rPr>
              <w:t>一、产品功能描述：用于放置医疗器械的无菌柜</w:t>
            </w:r>
          </w:p>
          <w:p w14:paraId="1379869A">
            <w:pPr>
              <w:spacing w:line="360" w:lineRule="auto"/>
              <w:rPr>
                <w:rFonts w:hint="eastAsia"/>
                <w:lang w:val="en-US" w:eastAsia="zh-CN"/>
              </w:rPr>
            </w:pPr>
            <w:r>
              <w:rPr>
                <w:rFonts w:hint="eastAsia"/>
                <w:lang w:val="en-US" w:eastAsia="zh-CN"/>
              </w:rPr>
              <w:t>二、产品用途描述：用于放置医疗器械的无菌柜</w:t>
            </w:r>
          </w:p>
          <w:p w14:paraId="7A8CA7C2">
            <w:pPr>
              <w:spacing w:line="360" w:lineRule="auto"/>
              <w:rPr>
                <w:rFonts w:hint="eastAsia"/>
                <w:lang w:val="en-US" w:eastAsia="zh-CN"/>
              </w:rPr>
            </w:pPr>
            <w:r>
              <w:rPr>
                <w:rFonts w:hint="eastAsia"/>
                <w:lang w:val="en-US" w:eastAsia="zh-CN"/>
              </w:rPr>
              <w:t>三、产品技术参数：</w:t>
            </w:r>
          </w:p>
          <w:p w14:paraId="605BCDB7">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规格：960×420×1800（mm）（±50mm）</w:t>
            </w:r>
          </w:p>
          <w:p w14:paraId="5F84F03B">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、整体为304不锈钢材质</w:t>
            </w:r>
          </w:p>
          <w:p w14:paraId="1D93657C">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柜体壁厚为：≥1.0mm。</w:t>
            </w:r>
          </w:p>
          <w:p w14:paraId="5A9F707B">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层数≥3层</w:t>
            </w:r>
            <w:r>
              <w:rPr>
                <w:rFonts w:hint="default" w:asciiTheme="minorHAnsi" w:hAnsiTheme="minorHAnsi" w:eastAsiaTheme="minorEastAsia" w:cstheme="minorBidi"/>
                <w:kern w:val="2"/>
                <w:sz w:val="21"/>
                <w:szCs w:val="24"/>
                <w:lang w:val="en-US" w:eastAsia="zh-CN" w:bidi="ar-SA"/>
              </w:rPr>
              <w:t>。</w:t>
            </w:r>
          </w:p>
          <w:p w14:paraId="34194831">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、柜门带锁。</w:t>
            </w:r>
          </w:p>
        </w:tc>
      </w:tr>
      <w:tr w14:paraId="253B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7" w:hRule="atLeast"/>
          <w:jc w:val="center"/>
        </w:trPr>
        <w:tc>
          <w:tcPr>
            <w:tcW w:w="9455" w:type="dxa"/>
            <w:gridSpan w:val="2"/>
          </w:tcPr>
          <w:p w14:paraId="08C7E3B9">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7A403111">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424075E4">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7BFD5959">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6F67DEB0">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55E42EF7">
            <w:pPr>
              <w:pStyle w:val="21"/>
              <w:numPr>
                <w:ilvl w:val="0"/>
                <w:numId w:val="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53DEFC3">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52B0C80F">
            <w:pPr>
              <w:pStyle w:val="21"/>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51A03EB9">
            <w:pPr>
              <w:pStyle w:val="21"/>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7EE547B">
            <w:pPr>
              <w:pStyle w:val="21"/>
              <w:numPr>
                <w:ilvl w:val="0"/>
                <w:numId w:val="4"/>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7E7F8F50">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303A5BE4">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7D34B54">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7832CF0C">
            <w:pPr>
              <w:pStyle w:val="21"/>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FF039BB">
            <w:pPr>
              <w:pStyle w:val="21"/>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6010C765">
            <w:pPr>
              <w:pStyle w:val="21"/>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3B6EC5BF">
            <w:pPr>
              <w:pStyle w:val="21"/>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778D3F32">
      <w:pPr>
        <w:jc w:val="left"/>
        <w:rPr>
          <w:rFonts w:hint="default" w:ascii="Times New Roman" w:hAnsi="Times New Roman" w:eastAsia="宋体" w:cs="Times New Roman"/>
        </w:rPr>
      </w:pPr>
    </w:p>
    <w:p w14:paraId="4AE65809">
      <w:pPr>
        <w:rPr>
          <w:rFonts w:hint="default" w:ascii="Times New Roman" w:hAnsi="Times New Roman" w:eastAsia="宋体" w:cs="Times New Roman"/>
        </w:rPr>
      </w:pPr>
      <w:r>
        <w:rPr>
          <w:rFonts w:hint="default" w:ascii="Times New Roman" w:hAnsi="Times New Roman" w:eastAsia="宋体" w:cs="Times New Roman"/>
        </w:rPr>
        <w:t>备注：</w:t>
      </w:r>
    </w:p>
    <w:p w14:paraId="55AF5A84">
      <w:pPr>
        <w:rPr>
          <w:rFonts w:hint="default" w:ascii="Times New Roman" w:hAnsi="Times New Roman" w:eastAsia="宋体" w:cs="Times New Roman"/>
        </w:rPr>
      </w:pPr>
      <w:r>
        <w:rPr>
          <w:rFonts w:hint="default" w:ascii="Times New Roman" w:hAnsi="Times New Roman" w:eastAsia="宋体" w:cs="Times New Roman"/>
        </w:rPr>
        <w:t>★（星号）条款代表购买此产品必须具有的功能、技术、配置等要求。</w:t>
      </w:r>
    </w:p>
    <w:p w14:paraId="29E50EBA">
      <w:pPr>
        <w:rPr>
          <w:rFonts w:hint="default" w:ascii="Times New Roman" w:hAnsi="Times New Roman" w:eastAsia="宋体" w:cs="Times New Roman"/>
        </w:rPr>
      </w:pPr>
      <w:r>
        <w:rPr>
          <w:rFonts w:hint="default" w:ascii="Times New Roman" w:hAnsi="Times New Roman" w:eastAsia="宋体" w:cs="Times New Roman"/>
        </w:rPr>
        <w:t>★（星号）条款代表所有代表投标单位必须符合该★（星号）条款，如不满足或有负偏离，则直接按照废标处理。★星号条款不得具有歧视性，针对性，排他性。未标记★（星号）条款的，投标公司可以存在负偏离或不满足。</w:t>
      </w:r>
    </w:p>
    <w:p w14:paraId="63FE1C94">
      <w:pPr>
        <w:rPr>
          <w:rFonts w:hint="default" w:ascii="Times New Roman" w:hAnsi="Times New Roman" w:eastAsia="宋体" w:cs="Times New Roman"/>
        </w:rPr>
      </w:pPr>
    </w:p>
    <w:p w14:paraId="5CE0AE62">
      <w:pPr>
        <w:rPr>
          <w:rFonts w:hint="default" w:ascii="Times New Roman" w:hAnsi="Times New Roman" w:eastAsia="宋体" w:cs="Times New Roman"/>
        </w:rPr>
      </w:pPr>
    </w:p>
    <w:p w14:paraId="6295DEAC">
      <w:pPr>
        <w:rPr>
          <w:rFonts w:hint="default" w:ascii="Times New Roman" w:hAnsi="Times New Roman" w:eastAsia="宋体" w:cs="Times New Roman"/>
        </w:rPr>
      </w:pPr>
    </w:p>
    <w:p w14:paraId="02549171">
      <w:pPr>
        <w:ind w:firstLine="562" w:firstLineChars="200"/>
        <w:jc w:val="left"/>
        <w:rPr>
          <w:rFonts w:hint="eastAsia" w:ascii="Times New Roman" w:hAnsi="Times New Roman" w:cs="Times New Roman"/>
          <w:b/>
          <w:bCs/>
          <w:sz w:val="28"/>
          <w:szCs w:val="28"/>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E74B3EC">
      <w:pPr>
        <w:ind w:firstLine="562" w:firstLineChars="200"/>
        <w:jc w:val="left"/>
        <w:rPr>
          <w:rFonts w:hint="eastAsia" w:ascii="Times New Roman" w:hAnsi="Times New Roman" w:eastAsia="宋体" w:cs="Times New Roman"/>
          <w:b/>
          <w:bCs/>
          <w:sz w:val="28"/>
          <w:szCs w:val="28"/>
        </w:rPr>
      </w:pPr>
      <w:r>
        <w:rPr>
          <w:rFonts w:hint="eastAsia" w:ascii="Times New Roman" w:hAnsi="Times New Roman" w:cs="Times New Roman"/>
          <w:b/>
          <w:bCs/>
          <w:sz w:val="28"/>
          <w:szCs w:val="28"/>
          <w:lang w:val="en-US" w:eastAsia="zh-CN"/>
        </w:rPr>
        <w:t>2</w:t>
      </w:r>
      <w:r>
        <w:rPr>
          <w:rFonts w:hint="eastAsia" w:ascii="Times New Roman" w:hAnsi="Times New Roman" w:eastAsia="宋体" w:cs="Times New Roman"/>
          <w:b/>
          <w:bCs/>
          <w:sz w:val="28"/>
          <w:szCs w:val="28"/>
          <w:lang w:val="en-US" w:eastAsia="zh-CN"/>
        </w:rPr>
        <w:t>.清洁柜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498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49360AE4">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1CD655CA">
            <w:pPr>
              <w:jc w:val="center"/>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清洁柜/2个</w:t>
            </w:r>
          </w:p>
        </w:tc>
      </w:tr>
      <w:tr w14:paraId="66E3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jc w:val="center"/>
        </w:trPr>
        <w:tc>
          <w:tcPr>
            <w:tcW w:w="9455" w:type="dxa"/>
            <w:gridSpan w:val="2"/>
          </w:tcPr>
          <w:p w14:paraId="75054C85">
            <w:pPr>
              <w:spacing w:line="360" w:lineRule="auto"/>
              <w:rPr>
                <w:rFonts w:hint="eastAsia"/>
                <w:b/>
                <w:bCs/>
                <w:lang w:val="en-US" w:eastAsia="zh-CN"/>
              </w:rPr>
            </w:pPr>
            <w:r>
              <w:rPr>
                <w:rFonts w:hint="eastAsia"/>
                <w:b/>
                <w:bCs/>
                <w:lang w:val="en-US" w:eastAsia="zh-CN"/>
              </w:rPr>
              <w:t>技术参数要求：</w:t>
            </w:r>
          </w:p>
          <w:p w14:paraId="703B097D">
            <w:pPr>
              <w:spacing w:line="360" w:lineRule="auto"/>
              <w:rPr>
                <w:rFonts w:hint="default"/>
                <w:lang w:val="en-US" w:eastAsia="zh-CN"/>
              </w:rPr>
            </w:pPr>
            <w:r>
              <w:rPr>
                <w:rFonts w:hint="eastAsia"/>
                <w:lang w:val="en-US" w:eastAsia="zh-CN"/>
              </w:rPr>
              <w:t>一、产品功能描述：用于处置室存放医疗用品</w:t>
            </w:r>
          </w:p>
          <w:p w14:paraId="1462BC50">
            <w:pPr>
              <w:spacing w:line="360" w:lineRule="auto"/>
              <w:rPr>
                <w:rFonts w:hint="eastAsia"/>
                <w:lang w:val="en-US" w:eastAsia="zh-CN"/>
              </w:rPr>
            </w:pPr>
            <w:r>
              <w:rPr>
                <w:rFonts w:hint="eastAsia"/>
                <w:lang w:val="en-US" w:eastAsia="zh-CN"/>
              </w:rPr>
              <w:t>二、产品用途描述：用于处置室存放医疗用品</w:t>
            </w:r>
          </w:p>
          <w:p w14:paraId="39DA4A29">
            <w:pPr>
              <w:spacing w:line="360" w:lineRule="auto"/>
              <w:rPr>
                <w:rFonts w:hint="eastAsia"/>
                <w:lang w:val="en-US" w:eastAsia="zh-CN"/>
              </w:rPr>
            </w:pPr>
            <w:r>
              <w:rPr>
                <w:rFonts w:hint="eastAsia"/>
                <w:lang w:val="en-US" w:eastAsia="zh-CN"/>
              </w:rPr>
              <w:t>三、产品技术参数：</w:t>
            </w:r>
          </w:p>
          <w:p w14:paraId="30043CE9">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尺寸：长度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900mm，宽度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400mm，高</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1750mm。</w:t>
            </w:r>
          </w:p>
          <w:p w14:paraId="744CC44C">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无菌柜共分五层，装载空间大，方便存放医疗器械。</w:t>
            </w:r>
          </w:p>
          <w:p w14:paraId="6FD82632">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层板底部采用加密加强筋，保证载重安全可靠。</w:t>
            </w:r>
          </w:p>
          <w:p w14:paraId="0B41D2B4">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不锈钢底座，使其稳定，结实不易倒下。</w:t>
            </w:r>
          </w:p>
        </w:tc>
      </w:tr>
      <w:tr w14:paraId="4C4F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3" w:hRule="atLeast"/>
          <w:jc w:val="center"/>
        </w:trPr>
        <w:tc>
          <w:tcPr>
            <w:tcW w:w="9455" w:type="dxa"/>
            <w:gridSpan w:val="2"/>
          </w:tcPr>
          <w:p w14:paraId="5AAB394E">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84B58FA">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36A1A928">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070AB4E4">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1F9A30D4">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1DC6F706">
            <w:pPr>
              <w:pStyle w:val="21"/>
              <w:numPr>
                <w:ilvl w:val="0"/>
                <w:numId w:val="6"/>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7ECD0DE5">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4EA3340E">
            <w:pPr>
              <w:pStyle w:val="21"/>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3AC2B1A6">
            <w:pPr>
              <w:pStyle w:val="21"/>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34E48103">
            <w:pPr>
              <w:pStyle w:val="21"/>
              <w:numPr>
                <w:ilvl w:val="0"/>
                <w:numId w:val="6"/>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4D040831">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19815BF9">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28F9E0AF">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78AFDD1D">
            <w:pPr>
              <w:pStyle w:val="21"/>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4B149028">
            <w:pPr>
              <w:pStyle w:val="21"/>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2B5C97BD">
            <w:pPr>
              <w:pStyle w:val="21"/>
              <w:numPr>
                <w:ilvl w:val="0"/>
                <w:numId w:val="6"/>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1B2E714">
            <w:pPr>
              <w:pStyle w:val="21"/>
              <w:numPr>
                <w:ilvl w:val="0"/>
                <w:numId w:val="6"/>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44BEBD40">
      <w:pPr>
        <w:jc w:val="left"/>
        <w:rPr>
          <w:rFonts w:hint="default" w:ascii="Times New Roman" w:hAnsi="Times New Roman" w:eastAsia="宋体" w:cs="Times New Roman"/>
        </w:rPr>
      </w:pPr>
    </w:p>
    <w:p w14:paraId="520E0A89">
      <w:pPr>
        <w:rPr>
          <w:rFonts w:hint="default" w:ascii="Times New Roman" w:hAnsi="Times New Roman" w:eastAsia="宋体" w:cs="Times New Roman"/>
        </w:rPr>
      </w:pPr>
      <w:r>
        <w:rPr>
          <w:rFonts w:hint="default" w:ascii="Times New Roman" w:hAnsi="Times New Roman" w:eastAsia="宋体" w:cs="Times New Roman"/>
        </w:rPr>
        <w:t>备注：</w:t>
      </w:r>
    </w:p>
    <w:p w14:paraId="4F981507">
      <w:pPr>
        <w:rPr>
          <w:rFonts w:hint="default" w:ascii="Times New Roman" w:hAnsi="Times New Roman" w:eastAsia="宋体" w:cs="Times New Roman"/>
        </w:rPr>
      </w:pPr>
      <w:r>
        <w:rPr>
          <w:rFonts w:hint="default" w:ascii="Times New Roman" w:hAnsi="Times New Roman" w:eastAsia="宋体" w:cs="Times New Roman"/>
        </w:rPr>
        <w:t>★（星号）条款代表购买此产品必须具有的功能、技术、配置等要求。</w:t>
      </w:r>
    </w:p>
    <w:p w14:paraId="7D00B999">
      <w:pPr>
        <w:rPr>
          <w:rFonts w:hint="default" w:ascii="Times New Roman" w:hAnsi="Times New Roman" w:eastAsia="宋体" w:cs="Times New Roman"/>
        </w:rPr>
      </w:pPr>
      <w:r>
        <w:rPr>
          <w:rFonts w:hint="default" w:ascii="Times New Roman" w:hAnsi="Times New Roman" w:eastAsia="宋体" w:cs="Times New Roman"/>
        </w:rPr>
        <w:t>★（星号）条款代表所有代表投标单位必须符合该★（星号）条款，如不满足或有负偏离，则直接按照废标处理。★星号条款不得具有歧视性，针对性，排他性。未标记★（星号）条款的，投标公司可以存在负偏离或不满足。</w:t>
      </w:r>
    </w:p>
    <w:p w14:paraId="0758D973">
      <w:pPr>
        <w:rPr>
          <w:rFonts w:hint="default" w:ascii="Times New Roman" w:hAnsi="Times New Roman" w:eastAsia="宋体" w:cs="Times New Roman"/>
        </w:rPr>
      </w:pPr>
    </w:p>
    <w:p w14:paraId="60ED50EB">
      <w:pPr>
        <w:rPr>
          <w:rFonts w:hint="default" w:ascii="Times New Roman" w:hAnsi="Times New Roman" w:eastAsia="宋体" w:cs="Times New Roman"/>
        </w:rPr>
      </w:pPr>
    </w:p>
    <w:p w14:paraId="18131410">
      <w:pPr>
        <w:ind w:firstLine="562" w:firstLineChars="200"/>
        <w:jc w:val="left"/>
        <w:rPr>
          <w:rFonts w:hint="eastAsia" w:ascii="Times New Roman" w:hAnsi="Times New Roman" w:cs="Times New Roman"/>
          <w:b/>
          <w:bCs/>
          <w:sz w:val="28"/>
          <w:szCs w:val="28"/>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89B73E7">
      <w:pPr>
        <w:ind w:firstLine="562" w:firstLineChars="200"/>
        <w:jc w:val="left"/>
        <w:rPr>
          <w:rFonts w:hint="eastAsia" w:ascii="Times New Roman" w:hAnsi="Times New Roman" w:eastAsia="宋体" w:cs="Times New Roman"/>
          <w:b/>
          <w:bCs/>
          <w:sz w:val="28"/>
          <w:szCs w:val="28"/>
        </w:rPr>
      </w:pPr>
      <w:r>
        <w:rPr>
          <w:rFonts w:hint="eastAsia" w:ascii="Times New Roman" w:hAnsi="Times New Roman" w:cs="Times New Roman"/>
          <w:b/>
          <w:bCs/>
          <w:sz w:val="28"/>
          <w:szCs w:val="28"/>
          <w:lang w:val="en-US" w:eastAsia="zh-CN"/>
        </w:rPr>
        <w:t>3</w:t>
      </w:r>
      <w:r>
        <w:rPr>
          <w:rFonts w:hint="eastAsia" w:ascii="Times New Roman" w:hAnsi="Times New Roman" w:eastAsia="宋体" w:cs="Times New Roman"/>
          <w:b/>
          <w:bCs/>
          <w:sz w:val="28"/>
          <w:szCs w:val="28"/>
          <w:lang w:val="en-US" w:eastAsia="zh-CN"/>
        </w:rPr>
        <w:t>.酒精储存柜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1B91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0D255158">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1F604E57">
            <w:pPr>
              <w:jc w:val="center"/>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酒精储存柜/1个</w:t>
            </w:r>
          </w:p>
        </w:tc>
      </w:tr>
      <w:tr w14:paraId="4F46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jc w:val="center"/>
        </w:trPr>
        <w:tc>
          <w:tcPr>
            <w:tcW w:w="9455" w:type="dxa"/>
            <w:gridSpan w:val="2"/>
          </w:tcPr>
          <w:p w14:paraId="26C92667">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6AE91A51">
            <w:pPr>
              <w:pStyle w:val="40"/>
              <w:numPr>
                <w:ilvl w:val="0"/>
                <w:numId w:val="0"/>
              </w:numPr>
              <w:spacing w:line="360" w:lineRule="auto"/>
              <w:jc w:val="both"/>
              <w:rPr>
                <w:rFonts w:hint="default"/>
                <w:lang w:val="en-US" w:eastAsia="zh-CN"/>
              </w:rPr>
            </w:pPr>
            <w:r>
              <w:rPr>
                <w:rFonts w:hint="default"/>
                <w:lang w:val="en-US" w:eastAsia="zh-CN"/>
              </w:rPr>
              <w:t>一、产品功能描述：</w:t>
            </w:r>
            <w:r>
              <w:rPr>
                <w:rFonts w:hint="eastAsia"/>
                <w:lang w:val="en-US" w:eastAsia="zh-CN"/>
              </w:rPr>
              <w:t>用于存储酒精</w:t>
            </w:r>
          </w:p>
          <w:p w14:paraId="35B86DD1">
            <w:pPr>
              <w:pStyle w:val="40"/>
              <w:numPr>
                <w:ilvl w:val="0"/>
                <w:numId w:val="0"/>
              </w:numPr>
              <w:spacing w:line="360" w:lineRule="auto"/>
              <w:jc w:val="both"/>
              <w:rPr>
                <w:rFonts w:hint="default"/>
                <w:lang w:val="en-US" w:eastAsia="zh-CN"/>
              </w:rPr>
            </w:pPr>
            <w:r>
              <w:rPr>
                <w:rFonts w:hint="default"/>
                <w:lang w:val="en-US" w:eastAsia="zh-CN"/>
              </w:rPr>
              <w:t>二、产品用途描述：</w:t>
            </w:r>
            <w:r>
              <w:rPr>
                <w:rFonts w:hint="eastAsia"/>
                <w:lang w:val="en-US" w:eastAsia="zh-CN"/>
              </w:rPr>
              <w:t>用于存储酒精</w:t>
            </w:r>
          </w:p>
          <w:p w14:paraId="5C109EC6">
            <w:pPr>
              <w:pStyle w:val="40"/>
              <w:numPr>
                <w:ilvl w:val="0"/>
                <w:numId w:val="0"/>
              </w:numPr>
              <w:spacing w:line="360" w:lineRule="auto"/>
              <w:jc w:val="both"/>
              <w:rPr>
                <w:rFonts w:hint="default"/>
                <w:lang w:val="en-US" w:eastAsia="zh-CN"/>
              </w:rPr>
            </w:pPr>
            <w:r>
              <w:rPr>
                <w:rFonts w:hint="default"/>
                <w:lang w:val="en-US" w:eastAsia="zh-CN"/>
              </w:rPr>
              <w:t>三、产品技术参数：</w:t>
            </w:r>
          </w:p>
          <w:p w14:paraId="28F13080">
            <w:pPr>
              <w:pStyle w:val="40"/>
              <w:numPr>
                <w:ilvl w:val="0"/>
                <w:numId w:val="0"/>
              </w:numPr>
              <w:spacing w:line="360" w:lineRule="auto"/>
              <w:jc w:val="both"/>
              <w:rPr>
                <w:rFonts w:hint="default"/>
                <w:lang w:val="en-US" w:eastAsia="zh-CN"/>
              </w:rPr>
            </w:pPr>
            <w:r>
              <w:rPr>
                <w:rFonts w:hint="default"/>
                <w:lang w:val="en-US" w:eastAsia="zh-CN"/>
              </w:rPr>
              <w:t>1.1 高品质易燃液体安全柜由双层钢板通过点焊接构造，两层之间相隔至少 38mm；</w:t>
            </w:r>
          </w:p>
          <w:p w14:paraId="5BA2E7A7">
            <w:pPr>
              <w:pStyle w:val="40"/>
              <w:numPr>
                <w:ilvl w:val="0"/>
                <w:numId w:val="0"/>
              </w:numPr>
              <w:spacing w:line="360" w:lineRule="auto"/>
              <w:jc w:val="both"/>
              <w:rPr>
                <w:rFonts w:hint="default"/>
                <w:lang w:val="en-US" w:eastAsia="zh-CN"/>
              </w:rPr>
            </w:pPr>
            <w:r>
              <w:rPr>
                <w:rFonts w:hint="default"/>
                <w:lang w:val="en-US" w:eastAsia="zh-CN"/>
              </w:rPr>
              <w:t>1.2 左右两侧设置通风装置有效降低挥发性物质浓度，预防火灾产生；</w:t>
            </w:r>
          </w:p>
          <w:p w14:paraId="71F0246F">
            <w:pPr>
              <w:pStyle w:val="40"/>
              <w:numPr>
                <w:ilvl w:val="0"/>
                <w:numId w:val="0"/>
              </w:numPr>
              <w:spacing w:line="360" w:lineRule="auto"/>
              <w:jc w:val="both"/>
              <w:rPr>
                <w:rFonts w:hint="default"/>
                <w:lang w:val="en-US" w:eastAsia="zh-CN"/>
              </w:rPr>
            </w:pPr>
            <w:r>
              <w:rPr>
                <w:rFonts w:hint="default"/>
                <w:lang w:val="en-US" w:eastAsia="zh-CN"/>
              </w:rPr>
              <w:t>1.3.表面光亮，防尘，防锈和防潮；</w:t>
            </w:r>
          </w:p>
          <w:p w14:paraId="462F657A">
            <w:pPr>
              <w:pStyle w:val="40"/>
              <w:numPr>
                <w:ilvl w:val="0"/>
                <w:numId w:val="0"/>
              </w:numPr>
              <w:spacing w:line="360" w:lineRule="auto"/>
              <w:jc w:val="both"/>
              <w:rPr>
                <w:rFonts w:hint="default"/>
                <w:lang w:val="en-US" w:eastAsia="zh-CN"/>
              </w:rPr>
            </w:pPr>
            <w:r>
              <w:rPr>
                <w:rFonts w:hint="default"/>
                <w:lang w:val="en-US" w:eastAsia="zh-CN"/>
              </w:rPr>
              <w:t>1.4 三点联动锁减少摩擦或机械火花，降低静电积蓄；</w:t>
            </w:r>
          </w:p>
          <w:p w14:paraId="636D28C9">
            <w:pPr>
              <w:pStyle w:val="40"/>
              <w:numPr>
                <w:ilvl w:val="0"/>
                <w:numId w:val="0"/>
              </w:numPr>
              <w:spacing w:line="360" w:lineRule="auto"/>
              <w:jc w:val="both"/>
              <w:rPr>
                <w:rFonts w:hint="default"/>
                <w:lang w:val="en-US" w:eastAsia="zh-CN"/>
              </w:rPr>
            </w:pPr>
            <w:r>
              <w:rPr>
                <w:rFonts w:hint="default"/>
                <w:lang w:val="en-US" w:eastAsia="zh-CN"/>
              </w:rPr>
              <w:t>1.5 安全挂锁配置，实现双人双锁管理，符合中国《危险化学品安全管理条例》的规定；</w:t>
            </w:r>
          </w:p>
          <w:p w14:paraId="79DBAEFE">
            <w:pPr>
              <w:pStyle w:val="40"/>
              <w:numPr>
                <w:ilvl w:val="0"/>
                <w:numId w:val="0"/>
              </w:numPr>
              <w:spacing w:line="360" w:lineRule="auto"/>
              <w:jc w:val="both"/>
              <w:rPr>
                <w:rFonts w:hint="default"/>
                <w:lang w:val="en-US" w:eastAsia="zh-CN"/>
              </w:rPr>
            </w:pPr>
            <w:r>
              <w:rPr>
                <w:rFonts w:hint="default"/>
                <w:lang w:val="en-US" w:eastAsia="zh-CN"/>
              </w:rPr>
              <w:t>1.6 不低于 2"(51mm) 深的盛漏槽防止泄漏的液体外溢，符合盛漏规范；</w:t>
            </w:r>
          </w:p>
          <w:p w14:paraId="548CDAD5">
            <w:pPr>
              <w:pStyle w:val="40"/>
              <w:numPr>
                <w:ilvl w:val="0"/>
                <w:numId w:val="0"/>
              </w:numPr>
              <w:spacing w:line="360" w:lineRule="auto"/>
              <w:jc w:val="both"/>
              <w:rPr>
                <w:rFonts w:hint="default"/>
                <w:lang w:val="en-US" w:eastAsia="zh-CN"/>
              </w:rPr>
            </w:pPr>
            <w:r>
              <w:rPr>
                <w:rFonts w:hint="default"/>
                <w:lang w:val="en-US" w:eastAsia="zh-CN"/>
              </w:rPr>
              <w:t>1.7 具有防溢式层板防止意外泄漏的化学品四溢，层板可以依据用户需求任意调节，增加空间使用率，</w:t>
            </w:r>
          </w:p>
          <w:p w14:paraId="23E0B0F9">
            <w:pPr>
              <w:pStyle w:val="40"/>
              <w:numPr>
                <w:ilvl w:val="0"/>
                <w:numId w:val="0"/>
              </w:numPr>
              <w:spacing w:line="360" w:lineRule="auto"/>
              <w:jc w:val="both"/>
              <w:rPr>
                <w:rFonts w:hint="default"/>
                <w:lang w:val="en-US" w:eastAsia="zh-CN"/>
              </w:rPr>
            </w:pPr>
            <w:r>
              <w:rPr>
                <w:rFonts w:hint="default"/>
                <w:lang w:val="en-US" w:eastAsia="zh-CN"/>
              </w:rPr>
              <w:t>1.8 具有防静电装置；</w:t>
            </w:r>
          </w:p>
          <w:p w14:paraId="7DD25F36">
            <w:pPr>
              <w:pStyle w:val="40"/>
              <w:numPr>
                <w:ilvl w:val="0"/>
                <w:numId w:val="0"/>
              </w:numPr>
              <w:spacing w:line="360" w:lineRule="auto"/>
              <w:jc w:val="both"/>
              <w:rPr>
                <w:rFonts w:hint="default"/>
                <w:lang w:val="en-US" w:eastAsia="zh-CN"/>
              </w:rPr>
            </w:pPr>
            <w:r>
              <w:rPr>
                <w:rFonts w:hint="default"/>
                <w:lang w:val="en-US" w:eastAsia="zh-CN"/>
              </w:rPr>
              <w:t>1.9 连续的琴式铰链；</w:t>
            </w:r>
          </w:p>
          <w:p w14:paraId="00CC4FED">
            <w:pPr>
              <w:pStyle w:val="40"/>
              <w:numPr>
                <w:ilvl w:val="0"/>
                <w:numId w:val="0"/>
              </w:numPr>
              <w:spacing w:line="360" w:lineRule="auto"/>
              <w:jc w:val="both"/>
              <w:rPr>
                <w:rFonts w:hint="default"/>
                <w:lang w:val="en-US" w:eastAsia="zh-CN"/>
              </w:rPr>
            </w:pPr>
            <w:r>
              <w:rPr>
                <w:rFonts w:hint="default"/>
                <w:lang w:val="en-US" w:eastAsia="zh-CN"/>
              </w:rPr>
              <w:t>1.10 具有醒目的标签可以在能见度较低的光线下辨识；</w:t>
            </w:r>
          </w:p>
          <w:p w14:paraId="07125BED">
            <w:pPr>
              <w:pStyle w:val="40"/>
              <w:numPr>
                <w:ilvl w:val="0"/>
                <w:numId w:val="0"/>
              </w:numPr>
              <w:shd w:val="clear"/>
              <w:spacing w:line="360" w:lineRule="auto"/>
              <w:jc w:val="both"/>
              <w:rPr>
                <w:rFonts w:hint="eastAsia"/>
                <w:highlight w:val="none"/>
                <w:lang w:val="en-US" w:eastAsia="zh-CN"/>
              </w:rPr>
            </w:pPr>
            <w:r>
              <w:rPr>
                <w:rFonts w:hint="default"/>
                <w:highlight w:val="none"/>
                <w:lang w:val="en-US" w:eastAsia="zh-CN"/>
              </w:rPr>
              <w:t xml:space="preserve">1.11 </w:t>
            </w:r>
            <w:r>
              <w:rPr>
                <w:rFonts w:hint="eastAsia"/>
                <w:highlight w:val="none"/>
                <w:lang w:val="en-US" w:eastAsia="zh-CN"/>
              </w:rPr>
              <w:t>单门或双门。</w:t>
            </w:r>
          </w:p>
          <w:p w14:paraId="0F2DD922">
            <w:pPr>
              <w:pStyle w:val="40"/>
              <w:numPr>
                <w:ilvl w:val="0"/>
                <w:numId w:val="0"/>
              </w:numPr>
              <w:shd w:val="clear"/>
              <w:spacing w:line="360" w:lineRule="auto"/>
              <w:jc w:val="both"/>
              <w:rPr>
                <w:rFonts w:hint="default"/>
                <w:lang w:val="en-US" w:eastAsia="zh-CN"/>
              </w:rPr>
            </w:pPr>
            <w:r>
              <w:rPr>
                <w:rFonts w:hint="eastAsia"/>
                <w:highlight w:val="none"/>
                <w:lang w:val="en-US" w:eastAsia="zh-CN"/>
              </w:rPr>
              <w:t>1</w:t>
            </w:r>
            <w:r>
              <w:rPr>
                <w:rFonts w:hint="eastAsia"/>
                <w:highlight w:val="none"/>
                <w:shd w:val="clear"/>
                <w:lang w:val="en-US" w:eastAsia="zh-CN"/>
              </w:rPr>
              <w:t>.12 500*400*700（长/宽/高</w:t>
            </w:r>
            <w:r>
              <w:rPr>
                <w:rFonts w:hint="eastAsia" w:ascii="宋体" w:hAnsi="宋体" w:eastAsia="宋体" w:cs="宋体"/>
                <w:highlight w:val="none"/>
                <w:shd w:val="clear"/>
                <w:vertAlign w:val="baseline"/>
                <w:lang w:val="en-US" w:eastAsia="zh-CN"/>
              </w:rPr>
              <w:t>±</w:t>
            </w:r>
            <w:r>
              <w:rPr>
                <w:rFonts w:hint="eastAsia" w:ascii="宋体" w:hAnsi="宋体" w:cs="宋体"/>
                <w:highlight w:val="none"/>
                <w:shd w:val="clear"/>
                <w:vertAlign w:val="baseline"/>
                <w:lang w:val="en-US" w:eastAsia="zh-CN"/>
              </w:rPr>
              <w:t>10%</w:t>
            </w:r>
            <w:r>
              <w:rPr>
                <w:rFonts w:hint="eastAsia"/>
                <w:highlight w:val="none"/>
                <w:shd w:val="clear"/>
                <w:lang w:val="en-US" w:eastAsia="zh-CN"/>
              </w:rPr>
              <w:t>）</w:t>
            </w:r>
          </w:p>
        </w:tc>
      </w:tr>
      <w:tr w14:paraId="700A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9" w:hRule="atLeast"/>
          <w:jc w:val="center"/>
        </w:trPr>
        <w:tc>
          <w:tcPr>
            <w:tcW w:w="9455" w:type="dxa"/>
            <w:gridSpan w:val="2"/>
          </w:tcPr>
          <w:p w14:paraId="18331359">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3B5DEAC2">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2A9C7D14">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1E4B8347">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6DB77E1E">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53770F06">
            <w:pPr>
              <w:pStyle w:val="21"/>
              <w:numPr>
                <w:ilvl w:val="0"/>
                <w:numId w:val="7"/>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332D8A32">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62033EE0">
            <w:pPr>
              <w:pStyle w:val="21"/>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07A514E6">
            <w:pPr>
              <w:pStyle w:val="21"/>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EABD7FD">
            <w:pPr>
              <w:pStyle w:val="21"/>
              <w:numPr>
                <w:ilvl w:val="0"/>
                <w:numId w:val="7"/>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3F1EB0DF">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6AD944BB">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03B617D">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4F26FBF2">
            <w:pPr>
              <w:pStyle w:val="21"/>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7BEA4E23">
            <w:pPr>
              <w:pStyle w:val="21"/>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070479EC">
            <w:pPr>
              <w:pStyle w:val="21"/>
              <w:numPr>
                <w:ilvl w:val="0"/>
                <w:numId w:val="7"/>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86A75AB">
            <w:pPr>
              <w:pStyle w:val="21"/>
              <w:numPr>
                <w:ilvl w:val="0"/>
                <w:numId w:val="7"/>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165544B4">
      <w:pPr>
        <w:jc w:val="left"/>
        <w:rPr>
          <w:rFonts w:hint="default" w:ascii="Times New Roman" w:hAnsi="Times New Roman" w:eastAsia="宋体" w:cs="Times New Roman"/>
        </w:rPr>
      </w:pPr>
    </w:p>
    <w:p w14:paraId="5BDF2602">
      <w:pPr>
        <w:rPr>
          <w:rFonts w:hint="default" w:ascii="Times New Roman" w:hAnsi="Times New Roman" w:eastAsia="宋体" w:cs="Times New Roman"/>
        </w:rPr>
      </w:pPr>
      <w:r>
        <w:rPr>
          <w:rFonts w:hint="default" w:ascii="Times New Roman" w:hAnsi="Times New Roman" w:eastAsia="宋体" w:cs="Times New Roman"/>
        </w:rPr>
        <w:t>备注：</w:t>
      </w:r>
    </w:p>
    <w:p w14:paraId="3657A7FE">
      <w:pPr>
        <w:rPr>
          <w:rFonts w:hint="default" w:ascii="Times New Roman" w:hAnsi="Times New Roman" w:eastAsia="宋体" w:cs="Times New Roman"/>
        </w:rPr>
      </w:pPr>
      <w:r>
        <w:rPr>
          <w:rFonts w:hint="default" w:ascii="Times New Roman" w:hAnsi="Times New Roman" w:eastAsia="宋体" w:cs="Times New Roman"/>
        </w:rPr>
        <w:t>★（星号）条款代表购买此产品必须具有的功能、技术、配置等要求。</w:t>
      </w:r>
    </w:p>
    <w:p w14:paraId="5B2FF006">
      <w:pPr>
        <w:rPr>
          <w:rFonts w:hint="default" w:ascii="Times New Roman" w:hAnsi="Times New Roman" w:eastAsia="宋体" w:cs="Times New Roman"/>
        </w:rPr>
      </w:pPr>
      <w:r>
        <w:rPr>
          <w:rFonts w:hint="default" w:ascii="Times New Roman" w:hAnsi="Times New Roman" w:eastAsia="宋体" w:cs="Times New Roman"/>
        </w:rPr>
        <w:t>★（星号）条款代表所有代表投标单位必须符合该★（星号）条款，如不满足或有负偏离，则直接按照废标处理。★星号条款不得具有歧视性，针对性，排他性。未标记★（星号）条款的，投标公司可以存在负偏离或不满足。</w:t>
      </w:r>
    </w:p>
    <w:p w14:paraId="5FE2FE95">
      <w:pPr>
        <w:rPr>
          <w:rFonts w:hint="default" w:ascii="Times New Roman" w:hAnsi="Times New Roman" w:eastAsia="宋体" w:cs="Times New Roman"/>
        </w:rPr>
      </w:pPr>
    </w:p>
    <w:p w14:paraId="3B515A0C">
      <w:pPr>
        <w:rPr>
          <w:rFonts w:hint="default" w:ascii="Times New Roman" w:hAnsi="Times New Roman" w:eastAsia="宋体" w:cs="Times New Roman"/>
        </w:rPr>
      </w:pPr>
    </w:p>
    <w:p w14:paraId="11DC74E2">
      <w:pPr>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br w:type="page"/>
      </w:r>
    </w:p>
    <w:p w14:paraId="15B4C1E8">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7164"/>
      <w:bookmarkStart w:id="6" w:name="_Toc5854"/>
      <w:bookmarkStart w:id="7" w:name="_Toc10880"/>
      <w:bookmarkStart w:id="8" w:name="_Toc14606"/>
      <w:bookmarkStart w:id="9" w:name="_Toc28369"/>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6298D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0B6964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2F16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05425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6817D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FD020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C5296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0DFB1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D7331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010C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D5F11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0"/>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38"/>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38"/>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0"/>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2"/>
        <w:rPr>
          <w:rFonts w:hint="eastAsia"/>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2"/>
        <w:rPr>
          <w:rFonts w:hint="eastAsia"/>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2"/>
        <w:rPr>
          <w:rFonts w:hint="eastAsia"/>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2"/>
        <w:rPr>
          <w:rFonts w:hint="eastAsia"/>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2"/>
        <w:rPr>
          <w:rFonts w:hint="eastAsia"/>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2"/>
        <w:rPr>
          <w:rFonts w:hint="eastAsia"/>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0"/>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0"/>
        <w:spacing w:line="480" w:lineRule="auto"/>
        <w:ind w:firstLine="420" w:firstLineChars="200"/>
        <w:rPr>
          <w:rFonts w:hint="eastAsia"/>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lang w:val="en-US" w:eastAsia="zh-CN"/>
        </w:rPr>
        <w:t>全套设备资料及产品彩页等</w:t>
      </w:r>
    </w:p>
    <w:p w14:paraId="325B67DD">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0"/>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0"/>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3"/>
        <w:tblpPr w:leftFromText="180" w:rightFromText="180" w:vertAnchor="text" w:horzAnchor="page" w:tblpXSpec="center" w:tblpY="172"/>
        <w:tblOverlap w:val="never"/>
        <w:tblW w:w="15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10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14:paraId="68AF6598">
            <w:pPr>
              <w:jc w:val="center"/>
              <w:rPr>
                <w:rFonts w:ascii="宋体" w:hAnsi="宋体"/>
                <w:b/>
                <w:color w:val="auto"/>
                <w:sz w:val="20"/>
                <w:szCs w:val="20"/>
                <w:highlight w:val="none"/>
              </w:rPr>
            </w:pPr>
            <w:r>
              <w:rPr>
                <w:rFonts w:hint="eastAsia" w:ascii="宋体" w:hAnsi="宋体"/>
                <w:b/>
                <w:color w:val="auto"/>
                <w:sz w:val="20"/>
                <w:szCs w:val="20"/>
                <w:highlight w:val="none"/>
              </w:rPr>
              <w:t>保修期</w:t>
            </w:r>
          </w:p>
          <w:p w14:paraId="07AEFC42">
            <w:pPr>
              <w:jc w:val="center"/>
              <w:rPr>
                <w:rFonts w:hint="eastAsia" w:ascii="宋体" w:hAnsi="宋体"/>
                <w:b/>
                <w:sz w:val="20"/>
                <w:szCs w:val="20"/>
                <w:highlight w:val="none"/>
              </w:rPr>
            </w:pPr>
            <w:r>
              <w:rPr>
                <w:rFonts w:hint="eastAsia" w:ascii="宋体" w:hAnsi="宋体"/>
                <w:b/>
                <w:color w:val="auto"/>
                <w:sz w:val="20"/>
                <w:szCs w:val="20"/>
                <w:highlight w:val="none"/>
              </w:rPr>
              <w:t>（全保）</w:t>
            </w:r>
          </w:p>
        </w:tc>
        <w:tc>
          <w:tcPr>
            <w:tcW w:w="1585"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806"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6DCEF1F4">
            <w:pPr>
              <w:jc w:val="center"/>
              <w:rPr>
                <w:rFonts w:ascii="宋体" w:hAnsi="宋体"/>
                <w:b/>
                <w:szCs w:val="21"/>
                <w:highlight w:val="none"/>
              </w:rPr>
            </w:pPr>
          </w:p>
        </w:tc>
        <w:tc>
          <w:tcPr>
            <w:tcW w:w="1117" w:type="dxa"/>
          </w:tcPr>
          <w:p w14:paraId="08A39789">
            <w:pPr>
              <w:jc w:val="center"/>
              <w:rPr>
                <w:rFonts w:ascii="宋体" w:hAnsi="宋体"/>
                <w:b/>
                <w:szCs w:val="21"/>
                <w:highlight w:val="none"/>
              </w:rPr>
            </w:pPr>
          </w:p>
        </w:tc>
        <w:tc>
          <w:tcPr>
            <w:tcW w:w="1879" w:type="dxa"/>
          </w:tcPr>
          <w:p w14:paraId="65796B91">
            <w:pPr>
              <w:jc w:val="center"/>
              <w:rPr>
                <w:rFonts w:ascii="宋体" w:hAnsi="宋体"/>
                <w:b/>
                <w:szCs w:val="21"/>
                <w:highlight w:val="none"/>
              </w:rPr>
            </w:pPr>
          </w:p>
        </w:tc>
        <w:tc>
          <w:tcPr>
            <w:tcW w:w="1104" w:type="dxa"/>
          </w:tcPr>
          <w:p w14:paraId="71C01583">
            <w:pPr>
              <w:jc w:val="center"/>
              <w:rPr>
                <w:rFonts w:ascii="宋体" w:hAnsi="宋体"/>
                <w:b/>
                <w:szCs w:val="21"/>
                <w:highlight w:val="none"/>
              </w:rPr>
            </w:pPr>
          </w:p>
        </w:tc>
        <w:tc>
          <w:tcPr>
            <w:tcW w:w="1458" w:type="dxa"/>
          </w:tcPr>
          <w:p w14:paraId="3705EF60">
            <w:pPr>
              <w:widowControl/>
              <w:jc w:val="center"/>
              <w:rPr>
                <w:rFonts w:ascii="宋体" w:hAnsi="宋体"/>
                <w:b/>
                <w:szCs w:val="21"/>
                <w:highlight w:val="none"/>
              </w:rPr>
            </w:pPr>
          </w:p>
        </w:tc>
        <w:tc>
          <w:tcPr>
            <w:tcW w:w="1514" w:type="dxa"/>
          </w:tcPr>
          <w:p w14:paraId="5BB26F95">
            <w:pPr>
              <w:widowControl/>
              <w:jc w:val="center"/>
              <w:rPr>
                <w:rFonts w:ascii="宋体" w:hAnsi="宋体"/>
                <w:b/>
                <w:szCs w:val="21"/>
                <w:highlight w:val="none"/>
              </w:rPr>
            </w:pPr>
          </w:p>
        </w:tc>
        <w:tc>
          <w:tcPr>
            <w:tcW w:w="1203" w:type="dxa"/>
          </w:tcPr>
          <w:p w14:paraId="19EF885C">
            <w:pPr>
              <w:widowControl/>
              <w:jc w:val="center"/>
              <w:rPr>
                <w:rFonts w:ascii="宋体" w:hAnsi="宋体"/>
                <w:b/>
                <w:szCs w:val="21"/>
                <w:highlight w:val="none"/>
              </w:rPr>
            </w:pPr>
          </w:p>
        </w:tc>
        <w:tc>
          <w:tcPr>
            <w:tcW w:w="1415" w:type="dxa"/>
          </w:tcPr>
          <w:p w14:paraId="01DAE848">
            <w:pPr>
              <w:widowControl/>
              <w:jc w:val="center"/>
              <w:rPr>
                <w:rFonts w:ascii="宋体" w:hAnsi="宋体"/>
                <w:b/>
                <w:szCs w:val="21"/>
                <w:highlight w:val="none"/>
              </w:rPr>
            </w:pPr>
          </w:p>
        </w:tc>
        <w:tc>
          <w:tcPr>
            <w:tcW w:w="1585" w:type="dxa"/>
          </w:tcPr>
          <w:p w14:paraId="76AFA398">
            <w:pPr>
              <w:widowControl/>
              <w:jc w:val="center"/>
              <w:rPr>
                <w:rFonts w:ascii="宋体" w:hAnsi="宋体"/>
                <w:b/>
                <w:szCs w:val="21"/>
                <w:highlight w:val="none"/>
              </w:rPr>
            </w:pPr>
          </w:p>
        </w:tc>
        <w:tc>
          <w:tcPr>
            <w:tcW w:w="1585"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806"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513C6D7A">
            <w:pPr>
              <w:jc w:val="center"/>
              <w:rPr>
                <w:rFonts w:ascii="宋体" w:hAnsi="宋体"/>
                <w:b/>
                <w:szCs w:val="21"/>
                <w:highlight w:val="none"/>
              </w:rPr>
            </w:pPr>
          </w:p>
        </w:tc>
        <w:tc>
          <w:tcPr>
            <w:tcW w:w="1117" w:type="dxa"/>
          </w:tcPr>
          <w:p w14:paraId="219F2E98">
            <w:pPr>
              <w:jc w:val="center"/>
              <w:rPr>
                <w:rFonts w:ascii="宋体" w:hAnsi="宋体"/>
                <w:b/>
                <w:szCs w:val="21"/>
                <w:highlight w:val="none"/>
              </w:rPr>
            </w:pPr>
          </w:p>
        </w:tc>
        <w:tc>
          <w:tcPr>
            <w:tcW w:w="1879" w:type="dxa"/>
          </w:tcPr>
          <w:p w14:paraId="067F6DE4">
            <w:pPr>
              <w:jc w:val="center"/>
              <w:rPr>
                <w:rFonts w:ascii="宋体" w:hAnsi="宋体"/>
                <w:b/>
                <w:szCs w:val="21"/>
                <w:highlight w:val="none"/>
              </w:rPr>
            </w:pPr>
          </w:p>
        </w:tc>
        <w:tc>
          <w:tcPr>
            <w:tcW w:w="1104" w:type="dxa"/>
          </w:tcPr>
          <w:p w14:paraId="449B12F8">
            <w:pPr>
              <w:jc w:val="center"/>
              <w:rPr>
                <w:rFonts w:ascii="宋体" w:hAnsi="宋体"/>
                <w:b/>
                <w:szCs w:val="21"/>
                <w:highlight w:val="none"/>
              </w:rPr>
            </w:pPr>
          </w:p>
        </w:tc>
        <w:tc>
          <w:tcPr>
            <w:tcW w:w="1458" w:type="dxa"/>
          </w:tcPr>
          <w:p w14:paraId="74AA6618">
            <w:pPr>
              <w:widowControl/>
              <w:jc w:val="center"/>
              <w:rPr>
                <w:rFonts w:ascii="宋体" w:hAnsi="宋体"/>
                <w:b/>
                <w:szCs w:val="21"/>
                <w:highlight w:val="none"/>
              </w:rPr>
            </w:pPr>
          </w:p>
        </w:tc>
        <w:tc>
          <w:tcPr>
            <w:tcW w:w="1514" w:type="dxa"/>
          </w:tcPr>
          <w:p w14:paraId="3B3C1F4A">
            <w:pPr>
              <w:widowControl/>
              <w:jc w:val="center"/>
              <w:rPr>
                <w:rFonts w:ascii="宋体" w:hAnsi="宋体"/>
                <w:b/>
                <w:szCs w:val="21"/>
                <w:highlight w:val="none"/>
              </w:rPr>
            </w:pPr>
          </w:p>
        </w:tc>
        <w:tc>
          <w:tcPr>
            <w:tcW w:w="1203" w:type="dxa"/>
          </w:tcPr>
          <w:p w14:paraId="55918BB6">
            <w:pPr>
              <w:widowControl/>
              <w:jc w:val="center"/>
              <w:rPr>
                <w:rFonts w:ascii="宋体" w:hAnsi="宋体"/>
                <w:b/>
                <w:szCs w:val="21"/>
                <w:highlight w:val="none"/>
              </w:rPr>
            </w:pPr>
          </w:p>
        </w:tc>
        <w:tc>
          <w:tcPr>
            <w:tcW w:w="1415" w:type="dxa"/>
          </w:tcPr>
          <w:p w14:paraId="0D7FD162">
            <w:pPr>
              <w:widowControl/>
              <w:jc w:val="center"/>
              <w:rPr>
                <w:rFonts w:ascii="宋体" w:hAnsi="宋体"/>
                <w:b/>
                <w:szCs w:val="21"/>
                <w:highlight w:val="none"/>
              </w:rPr>
            </w:pPr>
          </w:p>
        </w:tc>
        <w:tc>
          <w:tcPr>
            <w:tcW w:w="1585" w:type="dxa"/>
          </w:tcPr>
          <w:p w14:paraId="44D5905D">
            <w:pPr>
              <w:widowControl/>
              <w:jc w:val="center"/>
              <w:rPr>
                <w:rFonts w:ascii="宋体" w:hAnsi="宋体"/>
                <w:b/>
                <w:szCs w:val="21"/>
                <w:highlight w:val="none"/>
              </w:rPr>
            </w:pPr>
          </w:p>
        </w:tc>
        <w:tc>
          <w:tcPr>
            <w:tcW w:w="1585" w:type="dxa"/>
          </w:tcPr>
          <w:p w14:paraId="3AC4DA8C">
            <w:pPr>
              <w:widowControl/>
              <w:jc w:val="center"/>
              <w:rPr>
                <w:rFonts w:ascii="宋体" w:hAnsi="宋体"/>
                <w:b/>
                <w:szCs w:val="21"/>
                <w:highlight w:val="none"/>
              </w:rPr>
            </w:pPr>
          </w:p>
        </w:tc>
        <w:tc>
          <w:tcPr>
            <w:tcW w:w="1806" w:type="dxa"/>
            <w:vAlign w:val="center"/>
          </w:tcPr>
          <w:p w14:paraId="79A747FC">
            <w:pPr>
              <w:jc w:val="center"/>
              <w:rPr>
                <w:rFonts w:ascii="宋体" w:hAnsi="宋体" w:cs="宋体"/>
                <w:sz w:val="24"/>
                <w:szCs w:val="24"/>
                <w:highlight w:val="none"/>
                <w:u w:val="single"/>
              </w:rPr>
            </w:pPr>
          </w:p>
        </w:tc>
      </w:tr>
    </w:tbl>
    <w:p w14:paraId="2875331E">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p>
    <w:p w14:paraId="64DC79EB">
      <w:pPr>
        <w:pStyle w:val="2"/>
        <w:rPr>
          <w:rFonts w:hint="eastAsia"/>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0"/>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0"/>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0"/>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lang w:val="en-US" w:eastAsia="zh-CN"/>
        </w:rPr>
      </w:pPr>
      <w:r>
        <w:rPr>
          <w:rFonts w:hint="eastAsia"/>
          <w:b/>
          <w:bCs/>
          <w:sz w:val="24"/>
          <w:szCs w:val="24"/>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8"/>
        <w:rPr>
          <w:rFonts w:hint="eastAsia"/>
          <w:lang w:val="zh-CN"/>
        </w:rPr>
      </w:pPr>
    </w:p>
    <w:p w14:paraId="6D635D82">
      <w:pPr>
        <w:pStyle w:val="2"/>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2"/>
        <w:jc w:val="center"/>
        <w:rPr>
          <w:rFonts w:hint="eastAsia"/>
          <w:sz w:val="32"/>
          <w:szCs w:val="32"/>
          <w:lang w:val="en-US" w:eastAsia="zh-CN"/>
        </w:rPr>
      </w:pPr>
      <w:r>
        <w:rPr>
          <w:rFonts w:hint="eastAsia"/>
          <w:b/>
          <w:bCs/>
          <w:sz w:val="32"/>
          <w:szCs w:val="32"/>
          <w:lang w:val="en-US" w:eastAsia="zh-CN"/>
        </w:rPr>
        <w:t>维护保养细则</w:t>
      </w:r>
    </w:p>
    <w:p w14:paraId="7905FBC7">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（1）外观检查（各结构、部件等）；</w:t>
      </w:r>
    </w:p>
    <w:p w14:paraId="32DFAB8C">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（2）电气安全检查；</w:t>
      </w:r>
    </w:p>
    <w:p w14:paraId="00547BCD">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（3）功能检查；</w:t>
      </w:r>
    </w:p>
    <w:p w14:paraId="733B9FA9">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（4）测试调整、校准；</w:t>
      </w:r>
    </w:p>
    <w:p w14:paraId="05D46249">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（5）软件维护、备份、升级；</w:t>
      </w:r>
    </w:p>
    <w:p w14:paraId="534EBB99">
      <w:pPr>
        <w:pStyle w:val="2"/>
        <w:rPr>
          <w:rFonts w:hint="eastAsia"/>
          <w:lang w:val="en-US" w:eastAsia="zh-CN"/>
        </w:rPr>
      </w:pPr>
      <w:r>
        <w:rPr>
          <w:rFonts w:hint="eastAsia" w:ascii="宋体" w:hAnsi="宋体" w:eastAsia="宋体" w:cs="宋体"/>
          <w:sz w:val="24"/>
          <w:szCs w:val="24"/>
          <w:lang w:val="en-US" w:eastAsia="zh-CN"/>
        </w:rPr>
        <w:t>（6）清洁除尘；</w:t>
      </w:r>
    </w:p>
    <w:tbl>
      <w:tblPr>
        <w:tblStyle w:val="13"/>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lang w:val="en-US" w:eastAsia="zh-CN"/>
              </w:rPr>
            </w:pPr>
            <w:r>
              <w:rPr>
                <w:rFonts w:hint="eastAsia" w:ascii="华文楷体" w:hAnsi="华文楷体" w:eastAsia="华文楷体" w:cs="Arial"/>
                <w:b/>
                <w:bCs/>
                <w:kern w:val="0"/>
                <w:sz w:val="24"/>
                <w:szCs w:val="24"/>
                <w:lang w:val="en-US" w:eastAsia="zh-CN"/>
              </w:rPr>
              <w:t>某品牌彩超维护保养细则</w:t>
            </w:r>
            <w:r>
              <w:rPr>
                <w:rFonts w:hint="eastAsia" w:ascii="华文楷体" w:hAnsi="华文楷体" w:eastAsia="华文楷体" w:cs="Arial"/>
                <w:b/>
                <w:bCs/>
                <w:color w:val="FF0000"/>
                <w:kern w:val="0"/>
                <w:sz w:val="24"/>
                <w:szCs w:val="24"/>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rPr>
            </w:pPr>
            <w:r>
              <w:rPr>
                <w:rFonts w:ascii="Arial" w:hAnsi="Arial" w:cs="Arial"/>
                <w:kern w:val="0"/>
                <w:sz w:val="16"/>
                <w:szCs w:val="16"/>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检查外壳是否有破损</w:t>
            </w:r>
          </w:p>
        </w:tc>
      </w:tr>
      <w:tr w14:paraId="43F76B8C">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rPr>
            </w:pPr>
            <w:r>
              <w:rPr>
                <w:rFonts w:hint="eastAsia" w:ascii="华文楷体" w:hAnsi="华文楷体" w:eastAsia="华文楷体" w:cs="Arial"/>
                <w:b/>
                <w:bCs/>
                <w:kern w:val="0"/>
                <w:sz w:val="21"/>
                <w:szCs w:val="21"/>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rPr>
            </w:pPr>
            <w:r>
              <w:rPr>
                <w:rFonts w:hint="eastAsia" w:ascii="华文楷体" w:hAnsi="华文楷体" w:eastAsia="华文楷体" w:cs="Arial"/>
                <w:kern w:val="0"/>
                <w:sz w:val="21"/>
                <w:szCs w:val="21"/>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rPr>
            </w:pPr>
            <w:r>
              <w:rPr>
                <w:rFonts w:hint="eastAsia" w:ascii="华文楷体" w:hAnsi="华文楷体" w:eastAsia="华文楷体" w:cs="Arial"/>
                <w:kern w:val="0"/>
                <w:sz w:val="16"/>
                <w:szCs w:val="16"/>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929"/>
        <w:gridCol w:w="1099"/>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929"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099" w:type="dxa"/>
            <w:tcBorders>
              <w:top w:val="single" w:color="auto" w:sz="4" w:space="0"/>
              <w:left w:val="single" w:color="auto" w:sz="4" w:space="0"/>
              <w:right w:val="single" w:color="auto" w:sz="4" w:space="0"/>
            </w:tcBorders>
            <w:vAlign w:val="center"/>
          </w:tcPr>
          <w:p w14:paraId="6D080714">
            <w:pPr>
              <w:jc w:val="center"/>
              <w:rPr>
                <w:rFonts w:hint="eastAsia" w:ascii="宋体" w:hAnsi="宋体"/>
                <w:b/>
                <w:sz w:val="20"/>
                <w:szCs w:val="20"/>
                <w:highlight w:val="none"/>
              </w:rPr>
            </w:pPr>
            <w:r>
              <w:rPr>
                <w:rFonts w:hint="eastAsia" w:ascii="宋体" w:hAnsi="宋体"/>
                <w:b/>
                <w:sz w:val="20"/>
                <w:szCs w:val="20"/>
                <w:highlight w:val="none"/>
              </w:rPr>
              <w:t>保修期</w:t>
            </w:r>
          </w:p>
          <w:p w14:paraId="5788FC5B">
            <w:pPr>
              <w:jc w:val="center"/>
              <w:rPr>
                <w:rFonts w:hint="eastAsia" w:ascii="宋体" w:hAnsi="宋体"/>
                <w:b/>
                <w:sz w:val="20"/>
                <w:szCs w:val="20"/>
                <w:highlight w:val="none"/>
              </w:rPr>
            </w:pPr>
            <w:r>
              <w:rPr>
                <w:rFonts w:hint="eastAsia" w:ascii="宋体" w:hAnsi="宋体"/>
                <w:b/>
                <w:sz w:val="20"/>
                <w:szCs w:val="20"/>
                <w:highlight w:val="none"/>
              </w:rPr>
              <w:t>（全保）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929" w:type="dxa"/>
          </w:tcPr>
          <w:p w14:paraId="498F2533">
            <w:pPr>
              <w:widowControl/>
              <w:jc w:val="center"/>
              <w:rPr>
                <w:rFonts w:ascii="宋体" w:hAnsi="宋体"/>
                <w:b/>
                <w:szCs w:val="21"/>
                <w:highlight w:val="none"/>
              </w:rPr>
            </w:pPr>
          </w:p>
        </w:tc>
        <w:tc>
          <w:tcPr>
            <w:tcW w:w="1099"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929" w:type="dxa"/>
          </w:tcPr>
          <w:p w14:paraId="0DD70EBD">
            <w:pPr>
              <w:widowControl/>
              <w:jc w:val="center"/>
              <w:rPr>
                <w:rFonts w:ascii="宋体" w:hAnsi="宋体"/>
                <w:b/>
                <w:szCs w:val="21"/>
                <w:highlight w:val="none"/>
              </w:rPr>
            </w:pPr>
          </w:p>
        </w:tc>
        <w:tc>
          <w:tcPr>
            <w:tcW w:w="1099"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901"/>
        <w:gridCol w:w="1127"/>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901"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27" w:type="dxa"/>
            <w:tcBorders>
              <w:top w:val="single" w:color="auto" w:sz="4" w:space="0"/>
              <w:left w:val="single" w:color="auto" w:sz="4" w:space="0"/>
              <w:right w:val="single" w:color="auto" w:sz="4" w:space="0"/>
            </w:tcBorders>
            <w:vAlign w:val="center"/>
          </w:tcPr>
          <w:p w14:paraId="126527E6">
            <w:pPr>
              <w:jc w:val="center"/>
              <w:rPr>
                <w:rFonts w:hint="eastAsia" w:ascii="宋体" w:hAnsi="宋体"/>
                <w:b/>
                <w:sz w:val="20"/>
                <w:szCs w:val="20"/>
                <w:highlight w:val="none"/>
              </w:rPr>
            </w:pPr>
            <w:r>
              <w:rPr>
                <w:rFonts w:hint="eastAsia" w:ascii="宋体" w:hAnsi="宋体"/>
                <w:b/>
                <w:sz w:val="20"/>
                <w:szCs w:val="20"/>
                <w:highlight w:val="none"/>
              </w:rPr>
              <w:t>保修期</w:t>
            </w:r>
          </w:p>
          <w:p w14:paraId="27761D75">
            <w:pPr>
              <w:jc w:val="center"/>
              <w:rPr>
                <w:rFonts w:hint="eastAsia" w:ascii="宋体" w:hAnsi="宋体"/>
                <w:b/>
                <w:sz w:val="20"/>
                <w:szCs w:val="20"/>
                <w:highlight w:val="none"/>
              </w:rPr>
            </w:pPr>
            <w:r>
              <w:rPr>
                <w:rFonts w:hint="eastAsia" w:ascii="宋体" w:hAnsi="宋体"/>
                <w:b/>
                <w:sz w:val="20"/>
                <w:szCs w:val="20"/>
                <w:highlight w:val="none"/>
              </w:rPr>
              <w:t>（全保）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901" w:type="dxa"/>
          </w:tcPr>
          <w:p w14:paraId="0A3F2F9B">
            <w:pPr>
              <w:widowControl/>
              <w:jc w:val="center"/>
              <w:rPr>
                <w:rFonts w:ascii="宋体" w:hAnsi="宋体"/>
                <w:b/>
                <w:szCs w:val="21"/>
                <w:highlight w:val="none"/>
              </w:rPr>
            </w:pPr>
          </w:p>
        </w:tc>
        <w:tc>
          <w:tcPr>
            <w:tcW w:w="1127"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3B56147">
            <w:pPr>
              <w:jc w:val="center"/>
              <w:rPr>
                <w:rFonts w:ascii="宋体" w:hAnsi="宋体" w:cs="宋体"/>
                <w:sz w:val="24"/>
                <w:szCs w:val="24"/>
                <w:highlight w:val="none"/>
                <w:u w:val="single"/>
              </w:rPr>
            </w:pP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901" w:type="dxa"/>
          </w:tcPr>
          <w:p w14:paraId="0EF4D4D3">
            <w:pPr>
              <w:widowControl/>
              <w:jc w:val="center"/>
              <w:rPr>
                <w:rFonts w:ascii="宋体" w:hAnsi="宋体"/>
                <w:b/>
                <w:szCs w:val="21"/>
                <w:highlight w:val="none"/>
              </w:rPr>
            </w:pPr>
          </w:p>
        </w:tc>
        <w:tc>
          <w:tcPr>
            <w:tcW w:w="1127"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vAlign w:val="center"/>
          </w:tcPr>
          <w:p w14:paraId="39FD423C">
            <w:pPr>
              <w:jc w:val="center"/>
              <w:rPr>
                <w:rFonts w:ascii="宋体" w:hAnsi="宋体" w:cs="宋体"/>
                <w:sz w:val="24"/>
                <w:szCs w:val="24"/>
                <w:highlight w:val="none"/>
                <w:u w:val="single"/>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8E85D90">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074F9EA2">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9EFEC"/>
    <w:multiLevelType w:val="singleLevel"/>
    <w:tmpl w:val="B6F9EFEC"/>
    <w:lvl w:ilvl="0" w:tentative="0">
      <w:start w:val="1"/>
      <w:numFmt w:val="decimal"/>
      <w:lvlText w:val="%1."/>
      <w:lvlJc w:val="left"/>
      <w:pPr>
        <w:ind w:left="425" w:hanging="425"/>
      </w:pPr>
      <w:rPr>
        <w:rFonts w:hint="default"/>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3">
    <w:nsid w:val="4E720643"/>
    <w:multiLevelType w:val="singleLevel"/>
    <w:tmpl w:val="4E720643"/>
    <w:lvl w:ilvl="0" w:tentative="0">
      <w:start w:val="1"/>
      <w:numFmt w:val="decimal"/>
      <w:suff w:val="space"/>
      <w:lvlText w:val="%1."/>
      <w:lvlJc w:val="left"/>
      <w:rPr>
        <w:rFonts w:hint="default"/>
        <w:sz w:val="20"/>
        <w:szCs w:val="20"/>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1AFA81"/>
    <w:multiLevelType w:val="singleLevel"/>
    <w:tmpl w:val="681AFA81"/>
    <w:lvl w:ilvl="0" w:tentative="0">
      <w:start w:val="1"/>
      <w:numFmt w:val="decimal"/>
      <w:suff w:val="space"/>
      <w:lvlText w:val="%1."/>
      <w:lvlJc w:val="left"/>
      <w:rPr>
        <w:rFonts w:hint="default"/>
        <w:sz w:val="20"/>
        <w:szCs w:val="20"/>
        <w:highlight w:val="none"/>
      </w:rPr>
    </w:lvl>
  </w:abstractNum>
  <w:abstractNum w:abstractNumId="6">
    <w:nsid w:val="7F21897E"/>
    <w:multiLevelType w:val="singleLevel"/>
    <w:tmpl w:val="7F21897E"/>
    <w:lvl w:ilvl="0" w:tentative="0">
      <w:start w:val="1"/>
      <w:numFmt w:val="decimal"/>
      <w:suff w:val="space"/>
      <w:lvlText w:val="%1."/>
      <w:lvlJc w:val="left"/>
      <w:rPr>
        <w:rFonts w:hint="default"/>
        <w:sz w:val="20"/>
        <w:szCs w:val="20"/>
        <w:highlight w:val="none"/>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90084"/>
    <w:rsid w:val="02184C85"/>
    <w:rsid w:val="022E27E0"/>
    <w:rsid w:val="02C927A1"/>
    <w:rsid w:val="04CF1028"/>
    <w:rsid w:val="04E9700E"/>
    <w:rsid w:val="059E36F3"/>
    <w:rsid w:val="05B227CB"/>
    <w:rsid w:val="06191786"/>
    <w:rsid w:val="06E65CD9"/>
    <w:rsid w:val="06F74FB2"/>
    <w:rsid w:val="07325A44"/>
    <w:rsid w:val="073D614E"/>
    <w:rsid w:val="07C61A2F"/>
    <w:rsid w:val="07E656BE"/>
    <w:rsid w:val="07E65C20"/>
    <w:rsid w:val="084A292B"/>
    <w:rsid w:val="0B597947"/>
    <w:rsid w:val="0BBF4658"/>
    <w:rsid w:val="0BF422BF"/>
    <w:rsid w:val="0C3258D1"/>
    <w:rsid w:val="0E150DED"/>
    <w:rsid w:val="0E5F143F"/>
    <w:rsid w:val="0EAC6B4A"/>
    <w:rsid w:val="0F452E31"/>
    <w:rsid w:val="0FA60903"/>
    <w:rsid w:val="0FC24F0B"/>
    <w:rsid w:val="101833B4"/>
    <w:rsid w:val="10B93AD7"/>
    <w:rsid w:val="111D5F25"/>
    <w:rsid w:val="112A1D27"/>
    <w:rsid w:val="113810CC"/>
    <w:rsid w:val="11E37B79"/>
    <w:rsid w:val="11EE297F"/>
    <w:rsid w:val="11FB5F8E"/>
    <w:rsid w:val="122C2290"/>
    <w:rsid w:val="12641821"/>
    <w:rsid w:val="13B336A5"/>
    <w:rsid w:val="13D3478F"/>
    <w:rsid w:val="13DE6457"/>
    <w:rsid w:val="141D41B0"/>
    <w:rsid w:val="14363727"/>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200762AE"/>
    <w:rsid w:val="20497CF3"/>
    <w:rsid w:val="20CA0488"/>
    <w:rsid w:val="21192A15"/>
    <w:rsid w:val="21554A8C"/>
    <w:rsid w:val="217F37F1"/>
    <w:rsid w:val="21886884"/>
    <w:rsid w:val="21BB27E8"/>
    <w:rsid w:val="21F4671D"/>
    <w:rsid w:val="22BD14B5"/>
    <w:rsid w:val="22EC3BCE"/>
    <w:rsid w:val="22F4634C"/>
    <w:rsid w:val="234A3E31"/>
    <w:rsid w:val="243B51E0"/>
    <w:rsid w:val="24CA45F1"/>
    <w:rsid w:val="24EE1B49"/>
    <w:rsid w:val="2500285A"/>
    <w:rsid w:val="250D579E"/>
    <w:rsid w:val="25494348"/>
    <w:rsid w:val="259667D1"/>
    <w:rsid w:val="26204A40"/>
    <w:rsid w:val="26BD3179"/>
    <w:rsid w:val="26FA4716"/>
    <w:rsid w:val="275D01D5"/>
    <w:rsid w:val="279A3AD7"/>
    <w:rsid w:val="27B24B6D"/>
    <w:rsid w:val="281B1724"/>
    <w:rsid w:val="2842607D"/>
    <w:rsid w:val="2874680A"/>
    <w:rsid w:val="28E2682A"/>
    <w:rsid w:val="29866619"/>
    <w:rsid w:val="29E140B7"/>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CA0ECD"/>
    <w:rsid w:val="39D771DD"/>
    <w:rsid w:val="39DF5AAD"/>
    <w:rsid w:val="3A8E2FC5"/>
    <w:rsid w:val="3AE73375"/>
    <w:rsid w:val="3C2B1B71"/>
    <w:rsid w:val="3C3D3F09"/>
    <w:rsid w:val="3C8C2BC5"/>
    <w:rsid w:val="3CD15499"/>
    <w:rsid w:val="3DAC7580"/>
    <w:rsid w:val="3DB065CF"/>
    <w:rsid w:val="3DF06AC4"/>
    <w:rsid w:val="3EBA481B"/>
    <w:rsid w:val="3EC4291B"/>
    <w:rsid w:val="3F4618B9"/>
    <w:rsid w:val="3F5710F1"/>
    <w:rsid w:val="3FD943E3"/>
    <w:rsid w:val="401E6000"/>
    <w:rsid w:val="407556DD"/>
    <w:rsid w:val="40E67E2E"/>
    <w:rsid w:val="412C5A7C"/>
    <w:rsid w:val="412C7C92"/>
    <w:rsid w:val="426921A1"/>
    <w:rsid w:val="431D4629"/>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2A3C56"/>
    <w:rsid w:val="4B985576"/>
    <w:rsid w:val="4CF431C6"/>
    <w:rsid w:val="4D2B081D"/>
    <w:rsid w:val="4D4237F7"/>
    <w:rsid w:val="4DEB1D72"/>
    <w:rsid w:val="4E3840B3"/>
    <w:rsid w:val="4E6B5632"/>
    <w:rsid w:val="4F6319E7"/>
    <w:rsid w:val="4F686209"/>
    <w:rsid w:val="4F907EF0"/>
    <w:rsid w:val="4FCC501F"/>
    <w:rsid w:val="50477807"/>
    <w:rsid w:val="50C741D9"/>
    <w:rsid w:val="50CF01D2"/>
    <w:rsid w:val="516813B7"/>
    <w:rsid w:val="51961C80"/>
    <w:rsid w:val="51A34303"/>
    <w:rsid w:val="51A87F19"/>
    <w:rsid w:val="52320D8E"/>
    <w:rsid w:val="52390929"/>
    <w:rsid w:val="52616DA0"/>
    <w:rsid w:val="530556EE"/>
    <w:rsid w:val="539F032F"/>
    <w:rsid w:val="53BC6309"/>
    <w:rsid w:val="53E67E71"/>
    <w:rsid w:val="53E95C3D"/>
    <w:rsid w:val="546A0236"/>
    <w:rsid w:val="547A002E"/>
    <w:rsid w:val="549E5733"/>
    <w:rsid w:val="550757F5"/>
    <w:rsid w:val="552031DC"/>
    <w:rsid w:val="555A708C"/>
    <w:rsid w:val="561E6E3A"/>
    <w:rsid w:val="56516F63"/>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B127639"/>
    <w:rsid w:val="5B23548E"/>
    <w:rsid w:val="5B686961"/>
    <w:rsid w:val="5B6F03CE"/>
    <w:rsid w:val="5B812B90"/>
    <w:rsid w:val="5B9C5BD2"/>
    <w:rsid w:val="5C177BFF"/>
    <w:rsid w:val="5C2F265B"/>
    <w:rsid w:val="5C3C1834"/>
    <w:rsid w:val="5C7D4918"/>
    <w:rsid w:val="5C9820E8"/>
    <w:rsid w:val="5D891708"/>
    <w:rsid w:val="5DD966A6"/>
    <w:rsid w:val="5DF620A1"/>
    <w:rsid w:val="5E015851"/>
    <w:rsid w:val="5E360CA9"/>
    <w:rsid w:val="5E837C57"/>
    <w:rsid w:val="60A51DE4"/>
    <w:rsid w:val="60BD6424"/>
    <w:rsid w:val="61613AB1"/>
    <w:rsid w:val="61A06D7F"/>
    <w:rsid w:val="62256E5F"/>
    <w:rsid w:val="626277DF"/>
    <w:rsid w:val="627748B5"/>
    <w:rsid w:val="62876290"/>
    <w:rsid w:val="63045DB3"/>
    <w:rsid w:val="63972DD1"/>
    <w:rsid w:val="63DD1280"/>
    <w:rsid w:val="64A24E36"/>
    <w:rsid w:val="64B96719"/>
    <w:rsid w:val="64F83802"/>
    <w:rsid w:val="650D0D78"/>
    <w:rsid w:val="65387C9C"/>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D62492"/>
    <w:rsid w:val="6B5668D9"/>
    <w:rsid w:val="6C494D21"/>
    <w:rsid w:val="6CDE73B7"/>
    <w:rsid w:val="6DA4338E"/>
    <w:rsid w:val="6E476D7E"/>
    <w:rsid w:val="6EC24A7A"/>
    <w:rsid w:val="6EC40BDE"/>
    <w:rsid w:val="6EE3414D"/>
    <w:rsid w:val="6F0B7529"/>
    <w:rsid w:val="6F3511E5"/>
    <w:rsid w:val="6F72126A"/>
    <w:rsid w:val="6FB57E20"/>
    <w:rsid w:val="70004F9E"/>
    <w:rsid w:val="70F12E0C"/>
    <w:rsid w:val="726A0DA9"/>
    <w:rsid w:val="730E6F0C"/>
    <w:rsid w:val="732A0B5A"/>
    <w:rsid w:val="73E012D1"/>
    <w:rsid w:val="73FF1C70"/>
    <w:rsid w:val="7439413B"/>
    <w:rsid w:val="74432CED"/>
    <w:rsid w:val="75843AC2"/>
    <w:rsid w:val="758E30F2"/>
    <w:rsid w:val="75E865A6"/>
    <w:rsid w:val="76CE2028"/>
    <w:rsid w:val="77C90B4A"/>
    <w:rsid w:val="78465F9A"/>
    <w:rsid w:val="78E64316"/>
    <w:rsid w:val="79116E24"/>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00" w:lineRule="auto"/>
      <w:outlineLvl w:val="0"/>
    </w:pPr>
    <w:rPr>
      <w:b/>
      <w:bCs/>
      <w:sz w:val="24"/>
      <w:szCs w:val="20"/>
    </w:rPr>
  </w:style>
  <w:style w:type="paragraph" w:styleId="4">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0"/>
    <w:pPr>
      <w:spacing w:after="120"/>
    </w:pPr>
  </w:style>
  <w:style w:type="paragraph" w:styleId="5">
    <w:name w:val="annotation text"/>
    <w:basedOn w:val="1"/>
    <w:autoRedefine/>
    <w:qFormat/>
    <w:uiPriority w:val="99"/>
    <w:pPr>
      <w:jc w:val="left"/>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qFormat/>
    <w:uiPriority w:val="0"/>
    <w:pPr>
      <w:spacing w:beforeLines="50" w:after="10"/>
      <w:ind w:firstLine="490" w:firstLineChars="175"/>
      <w:jc w:val="left"/>
    </w:pPr>
  </w:style>
  <w:style w:type="character" w:customStyle="1" w:styleId="35">
    <w:name w:val="NormalCharacter"/>
    <w:autoRedefine/>
    <w:semiHidden/>
    <w:qFormat/>
    <w:uiPriority w:val="0"/>
  </w:style>
  <w:style w:type="paragraph" w:customStyle="1" w:styleId="36">
    <w:name w:val="Table Text"/>
    <w:basedOn w:val="1"/>
    <w:autoRedefine/>
    <w:semiHidden/>
    <w:qFormat/>
    <w:uiPriority w:val="0"/>
    <w:rPr>
      <w:rFonts w:ascii="宋体" w:hAnsi="宋体" w:eastAsia="宋体" w:cs="宋体"/>
      <w:sz w:val="25"/>
      <w:szCs w:val="25"/>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5"/>
    <w:qFormat/>
    <w:uiPriority w:val="0"/>
    <w:rPr>
      <w:rFonts w:hint="eastAsia" w:ascii="宋体" w:hAnsi="宋体" w:eastAsia="宋体" w:cs="宋体"/>
      <w:b/>
      <w:bCs/>
      <w:color w:val="000000"/>
      <w:sz w:val="28"/>
      <w:szCs w:val="28"/>
      <w:u w:val="none"/>
    </w:rPr>
  </w:style>
  <w:style w:type="paragraph" w:customStyle="1" w:styleId="39">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0">
    <w:name w:val="列表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3390</Words>
  <Characters>3610</Characters>
  <Lines>0</Lines>
  <Paragraphs>0</Paragraphs>
  <TotalTime>2</TotalTime>
  <ScaleCrop>false</ScaleCrop>
  <LinksUpToDate>false</LinksUpToDate>
  <CharactersWithSpaces>3684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2025-07-07T01:35:17Z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120704712A9747E39CB2F2A45671EA11_13</vt:lpwstr>
  </property>
  <property fmtid="{D5CDD505-2E9C-101B-9397-08002B2CF9AE}" pid="4" name="KSOTemplateDocerSaveRecord">
    <vt:lpwstr>eyJoZGlkIjoiMmZkODdkOTI3ZWU4NDYzMzk5NDJkMjlmNDE2NDVmYTAifQ==</vt:lpwstr>
  </property>
</Properties>
</file>