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吉林大学第一医院25-YJ-XXX</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腹部牵开器</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8"/>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8"/>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吉林大学第一医院25-YJ-XXX 腹部牵开器等设备采购项目议价公告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2118"/>
      <w:bookmarkStart w:id="2" w:name="_Toc24593"/>
      <w:bookmarkStart w:id="3" w:name="_Toc7300"/>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吉林大学第一医院25-YJ-XXX 腹部牵开器等设备采购项目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吉林大学第一医院25-YJ-XXX 腹部牵开器等设备采购项目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25-YJ-XXX</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吉林大学第一医院25-YJ-XXX 腹部牵开器等设备采购项目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腹部牵开器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岩盐气溶胶治疗仪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心肺复苏机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升降台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手术车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手术车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高频手术设备</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二氧化碳眼科冷冻治疗仪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电动锯骨机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2025年07月15日13时30分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7164"/>
      <w:bookmarkStart w:id="6" w:name="_Toc5854"/>
      <w:bookmarkStart w:id="7" w:name="_Toc14606"/>
      <w:bookmarkStart w:id="8" w:name="_Toc28369"/>
      <w:bookmarkStart w:id="9" w:name="_Toc10880"/>
      <w:r>
        <w:rPr>
          <w:rFonts w:hint="eastAsia" w:cs="Times New Roman"/>
          <w:b/>
          <w:bCs/>
          <w:sz w:val="28"/>
          <w:szCs w:val="28"/>
          <w:highlight w:val="none"/>
          <w:lang w:val="en-US" w:eastAsia="zh-CN"/>
        </w:rPr>
        <w:t>序号1.腹部牵开器</w:t>
      </w:r>
    </w:p>
    <w:tbl>
      <w:tblPr>
        <w:tblStyle w:val="25"/>
        <w:tblW w:w="10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7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cs="宋体"/>
                <w:i w:val="0"/>
                <w:color w:val="000000"/>
                <w:sz w:val="21"/>
                <w:szCs w:val="21"/>
                <w:u w:val="none"/>
                <w:lang w:val="en-US" w:eastAsia="zh-CN"/>
              </w:rPr>
              <w:t>腹部牵开器/1套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7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108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lang w:val="en-US" w:eastAsia="zh-CN"/>
              </w:rPr>
              <w:t>充分暴露手术野，为手术顺利进行创造必要的条件。</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val="en-US" w:eastAsia="zh-CN"/>
              </w:rPr>
              <w:t>用于妇科恶性肿瘤减瘤等腹部复杂手术。</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i w:val="0"/>
                <w:color w:val="000000"/>
                <w:sz w:val="21"/>
                <w:szCs w:val="21"/>
                <w:u w:val="none"/>
              </w:rPr>
              <w:t>框架式结构，根据手术部位灵活组合成上腹、中腹、下腹和全腹配置。</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i w:val="0"/>
                <w:color w:val="000000"/>
                <w:sz w:val="21"/>
                <w:szCs w:val="21"/>
                <w:u w:val="none"/>
                <w:lang w:val="en-US" w:eastAsia="zh-CN"/>
              </w:rPr>
              <w:t>由床轨夹、框架柱、延长臂、臂钩关节、大中小号曲形拉钩、Deaver固定式和球锁式拉钩、Richardson球锁式拉钩、指形球锁式拉钩、膀胱后壁球锁式拉钩、大网膜拉钩固定式以及消毒篮和硅胶垫等组成</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i w:val="0"/>
                <w:color w:val="000000"/>
                <w:sz w:val="21"/>
                <w:szCs w:val="21"/>
                <w:u w:val="none"/>
                <w:lang w:val="en-US" w:eastAsia="zh-CN"/>
              </w:rPr>
              <w:t>器械采用GB/T1220中规定不锈钢制造，表面哑光处理。</w:t>
            </w:r>
          </w:p>
          <w:p>
            <w:pPr>
              <w:spacing w:line="240" w:lineRule="auto"/>
              <w:rPr>
                <w:rFonts w:hint="default"/>
                <w:lang w:val="en-US" w:eastAsia="zh-CN"/>
              </w:rPr>
            </w:pPr>
            <w:r>
              <w:rPr>
                <w:rFonts w:hint="eastAsia" w:ascii="宋体" w:hAnsi="宋体" w:eastAsia="宋体" w:cs="宋体"/>
                <w:i w:val="0"/>
                <w:color w:val="000000"/>
                <w:sz w:val="21"/>
                <w:szCs w:val="21"/>
                <w:u w:val="none"/>
                <w:lang w:val="en-US" w:eastAsia="zh-CN"/>
              </w:rPr>
              <w:t>4、床轨夹适配所有手术床；框架柱集成两个齿形臂臂关节压柄式；头尾侧两个延长臂都带连接轴，分别集成有2个和1个臂钩关节压柄式；开口式关节可随时灵活将各种拉钩固定于延长臂任意功能点上。曲形拉钩摆动式，大中小号；Deaver拉钩固定式和球锁式；Richardson拉钩，球锁式；指形拉钩：五指，球锁式；大网膜拉钩固定式；膀胱后壁拉钩：球锁式；所有球锁拉钩钩板可360°旋转。单侧摆动≤50°，可一键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3" w:hRule="atLeast"/>
          <w:jc w:val="center"/>
        </w:trPr>
        <w:tc>
          <w:tcPr>
            <w:tcW w:w="108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spacing w:line="240" w:lineRule="auto"/>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spacing w:line="240" w:lineRule="auto"/>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spacing w:line="240" w:lineRule="auto"/>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spacing w:line="240" w:lineRule="auto"/>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spacing w:line="240" w:lineRule="auto"/>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spacing w:line="240" w:lineRule="auto"/>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9"/>
              <w:numPr>
                <w:numId w:val="0"/>
              </w:numPr>
              <w:spacing w:line="240" w:lineRule="auto"/>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9"/>
              <w:numPr>
                <w:numId w:val="0"/>
              </w:numPr>
              <w:spacing w:line="240" w:lineRule="auto"/>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spacing w:line="240" w:lineRule="auto"/>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序号2.岩盐气溶胶治疗仪</w:t>
      </w:r>
    </w:p>
    <w:tbl>
      <w:tblPr>
        <w:tblStyle w:val="25"/>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879"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项目名称及数量</w:t>
            </w:r>
          </w:p>
        </w:tc>
        <w:tc>
          <w:tcPr>
            <w:tcW w:w="7921"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岩盐气溶胶治疗仪/1台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879"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预算单价</w:t>
            </w:r>
          </w:p>
        </w:tc>
        <w:tc>
          <w:tcPr>
            <w:tcW w:w="792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r>
              <w:rPr>
                <w:rFonts w:hint="eastAsia" w:asciiTheme="minorEastAsia" w:hAnsiTheme="minorEastAsia" w:eastAsiaTheme="minorEastAsia" w:cstheme="minorEastAsia"/>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00" w:type="dxa"/>
            <w:gridSpan w:val="2"/>
          </w:tcPr>
          <w:p>
            <w:pPr>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技术参数要求：</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一、产品功能描述</w:t>
            </w:r>
            <w:r>
              <w:rPr>
                <w:rFonts w:hint="eastAsia" w:asciiTheme="minorEastAsia" w:hAnsiTheme="minorEastAsia" w:cstheme="minorEastAsia"/>
                <w:sz w:val="21"/>
                <w:szCs w:val="21"/>
                <w:lang w:val="en-US" w:eastAsia="zh-CN"/>
              </w:rPr>
              <w:t>：</w:t>
            </w:r>
            <w:r>
              <w:rPr>
                <w:rFonts w:hint="eastAsia" w:ascii="宋体" w:hAnsi="宋体" w:eastAsia="宋体" w:cs="宋体"/>
                <w:vertAlign w:val="baseline"/>
                <w:lang w:val="en-US" w:eastAsia="zh-CN"/>
              </w:rPr>
              <w:t>可产生1-5微米的岩盐气溶胶，通过吸入岩盐气溶胶可治疗呼吸系统疾病。</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二、产品用途描述</w:t>
            </w:r>
            <w:r>
              <w:rPr>
                <w:rFonts w:hint="eastAsia" w:asciiTheme="minorEastAsia" w:hAnsiTheme="minorEastAsia" w:cstheme="minorEastAsia"/>
                <w:sz w:val="21"/>
                <w:szCs w:val="21"/>
                <w:lang w:val="en-US" w:eastAsia="zh-CN"/>
              </w:rPr>
              <w:t>：</w:t>
            </w:r>
            <w:r>
              <w:rPr>
                <w:rFonts w:hint="eastAsia" w:ascii="宋体" w:hAnsi="宋体" w:eastAsia="宋体" w:cs="宋体"/>
                <w:vertAlign w:val="baseline"/>
                <w:lang w:val="en-US" w:eastAsia="zh-CN"/>
              </w:rPr>
              <w:t>主要起到化痰排痰和抗炎杀菌两大作用。针对呼吸科可治疗哮喘、慢阻肺、鼻炎、慢性咳嗽、慢性支气管扩张等疾病。</w:t>
            </w:r>
          </w:p>
          <w:p>
            <w:pPr>
              <w:spacing w:line="240" w:lineRule="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三、产品技术</w:t>
            </w:r>
            <w:r>
              <w:rPr>
                <w:rFonts w:hint="eastAsia" w:asciiTheme="minorEastAsia" w:hAnsiTheme="minorEastAsia" w:cstheme="minorEastAsia"/>
                <w:sz w:val="21"/>
                <w:szCs w:val="21"/>
                <w:lang w:val="en-US" w:eastAsia="zh-CN"/>
              </w:rPr>
              <w:t>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1、适用范围：用以治疗呼吸系统疾病；</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2、设备组成：主机、专用岩盐配料、电源适配器和软件；</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vertAlign w:val="baseline"/>
                <w:lang w:val="en-US" w:eastAsia="zh-CN"/>
              </w:rPr>
              <w:t>4、产生的</w:t>
            </w:r>
            <w:r>
              <w:rPr>
                <w:rFonts w:hint="eastAsia" w:ascii="宋体" w:hAnsi="宋体" w:eastAsia="宋体" w:cs="宋体"/>
                <w:highlight w:val="none"/>
                <w:vertAlign w:val="baseline"/>
                <w:lang w:val="en-US" w:eastAsia="zh-CN"/>
              </w:rPr>
              <w:t>岩盐气溶胶，规格不超过5微米的颗粒数量占总颗粒数的比例不低于80%；</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5、岩盐气溶胶浓度可调节，</w:t>
            </w:r>
            <w:r>
              <w:rPr>
                <w:rFonts w:hint="eastAsia" w:ascii="宋体" w:hAnsi="宋体" w:eastAsia="宋体" w:cs="宋体"/>
              </w:rPr>
              <w:t>浓度≥3mg/m3</w:t>
            </w:r>
            <w:r>
              <w:rPr>
                <w:rFonts w:hint="eastAsia" w:ascii="宋体" w:hAnsi="宋体" w:eastAsia="宋体" w:cs="宋体"/>
                <w:highlight w:val="none"/>
                <w:vertAlign w:val="baseline"/>
                <w:lang w:val="en-US" w:eastAsia="zh-CN"/>
              </w:rPr>
              <w:t>；</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6、可单人佩戴面罩使用；</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8、档位：转速、风速可调节；</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9、工作时间：不少于1-60min范围可调节；</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11、显示方式:液晶显示屏，中文菜单；</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12、具备历史记录功能，可查看最近一次治疗的时间和模式；</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14、重量轻，具有一定的便携性，方便移动，满足各种使用场景；</w:t>
            </w:r>
          </w:p>
          <w:p>
            <w:pPr>
              <w:spacing w:line="240" w:lineRule="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15、使用年限≥5年；</w:t>
            </w:r>
          </w:p>
          <w:p>
            <w:pPr>
              <w:spacing w:line="240" w:lineRule="auto"/>
              <w:rPr>
                <w:rFonts w:hint="default" w:asciiTheme="minorEastAsia" w:hAnsiTheme="minorEastAsia" w:eastAsiaTheme="minorEastAsia" w:cstheme="minorEastAsia"/>
                <w:kern w:val="2"/>
                <w:sz w:val="21"/>
                <w:szCs w:val="21"/>
                <w:lang w:val="en-US" w:eastAsia="zh-CN" w:bidi="ar-SA"/>
              </w:rPr>
            </w:pPr>
            <w:r>
              <w:rPr>
                <w:rFonts w:hint="eastAsia" w:ascii="宋体" w:hAnsi="宋体" w:eastAsia="宋体" w:cs="宋体"/>
                <w:highlight w:val="none"/>
                <w:vertAlign w:val="baseline"/>
                <w:lang w:val="en-US" w:eastAsia="zh-CN"/>
              </w:rPr>
              <w:t>18、噪音≤70dB。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9" w:hRule="atLeast"/>
          <w:jc w:val="center"/>
        </w:trPr>
        <w:tc>
          <w:tcPr>
            <w:tcW w:w="9800" w:type="dxa"/>
            <w:gridSpan w:val="2"/>
          </w:tcPr>
          <w:p>
            <w:pP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售后服务要求：</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1.免费保修期：（全保，包含但不限于人工费、零配件更换、软件升级等各项费用）不</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少于</w:t>
            </w: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年，并提供易损件报价和出保后保修价格；</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9"/>
              <w:numPr>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9"/>
              <w:numPr>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9"/>
              <w:numPr>
                <w:numId w:val="0"/>
              </w:numPr>
              <w:jc w:val="left"/>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Theme="minorEastAsia" w:hAnsiTheme="minorEastAsia" w:eastAsiaTheme="minorEastAsia" w:cstheme="minorEastAsia"/>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Theme="minorEastAsia" w:hAnsiTheme="minorEastAsia" w:eastAsiaTheme="minorEastAsia" w:cstheme="minorEastAsia"/>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eastAsia" w:asciiTheme="minorEastAsia" w:hAnsiTheme="minorEastAsia" w:eastAsiaTheme="minorEastAsia" w:cstheme="minorEastAsia"/>
                <w:sz w:val="21"/>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Theme="minorEastAsia" w:hAnsiTheme="minorEastAsia" w:eastAsiaTheme="minorEastAsia" w:cstheme="minorEastAsia"/>
                <w:sz w:val="21"/>
                <w:szCs w:val="21"/>
                <w:highlight w:val="none"/>
                <w:lang w:eastAsia="zh-CN"/>
              </w:rPr>
              <w:t>设备校准：</w:t>
            </w:r>
            <w:r>
              <w:rPr>
                <w:rFonts w:hint="eastAsia" w:asciiTheme="minorEastAsia" w:hAnsiTheme="minorEastAsia" w:eastAsiaTheme="minorEastAsia" w:cstheme="minorEastAsia"/>
                <w:sz w:val="21"/>
                <w:szCs w:val="21"/>
                <w:highlight w:val="none"/>
                <w:lang w:val="en-US" w:eastAsia="zh-CN"/>
              </w:rPr>
              <w:t>需校准的实验室设备，</w:t>
            </w:r>
            <w:r>
              <w:rPr>
                <w:rFonts w:hint="eastAsia" w:asciiTheme="minorEastAsia" w:hAnsiTheme="minorEastAsia" w:eastAsiaTheme="minorEastAsia" w:cstheme="minorEastAsia"/>
                <w:sz w:val="21"/>
                <w:szCs w:val="21"/>
                <w:highlight w:val="none"/>
                <w:lang w:eastAsia="zh-CN"/>
              </w:rPr>
              <w:t>投标人提供每年一次设备校准，免费提供设备校准所需的试剂及耗材，并提供校准报告。如设备维修后需校准，</w:t>
            </w:r>
            <w:r>
              <w:rPr>
                <w:rFonts w:hint="eastAsia" w:asciiTheme="minorEastAsia" w:hAnsiTheme="minorEastAsia" w:eastAsiaTheme="minorEastAsia" w:cstheme="minorEastAsia"/>
                <w:sz w:val="21"/>
                <w:szCs w:val="21"/>
                <w:highlight w:val="none"/>
                <w:lang w:val="en-US" w:eastAsia="zh-CN"/>
              </w:rPr>
              <w:t>也免费提供以上服务</w:t>
            </w:r>
            <w:r>
              <w:rPr>
                <w:rFonts w:hint="eastAsia" w:asciiTheme="minorEastAsia" w:hAnsiTheme="minorEastAsia" w:eastAsiaTheme="minorEastAsia" w:cstheme="minorEastAsia"/>
                <w:sz w:val="21"/>
                <w:szCs w:val="21"/>
                <w:highlight w:val="none"/>
                <w:lang w:eastAsia="zh-CN"/>
              </w:rPr>
              <w:t>；</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12.系统升级：投标人提供原厂系统免费软件升级；</w:t>
            </w:r>
          </w:p>
          <w:p>
            <w:pPr>
              <w:pStyle w:val="29"/>
              <w:numPr>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Theme="minorEastAsia" w:hAnsiTheme="minorEastAsia" w:eastAsiaTheme="minorEastAsia" w:cstheme="minorEastAsia"/>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Theme="minorEastAsia" w:hAnsiTheme="minorEastAsia" w:eastAsiaTheme="minorEastAsia" w:cstheme="minorEastAsia"/>
                <w:i w:val="0"/>
                <w:iCs w:val="0"/>
                <w:color w:val="000000"/>
                <w:kern w:val="0"/>
                <w:sz w:val="21"/>
                <w:szCs w:val="21"/>
                <w:u w:val="none"/>
                <w:lang w:val="en-US" w:eastAsia="zh-CN" w:bidi="ar"/>
              </w:rPr>
              <w:t>有临床相关专业经验和相应资质；</w:t>
            </w:r>
          </w:p>
          <w:p>
            <w:pPr>
              <w:pStyle w:val="29"/>
              <w:numPr>
                <w:numId w:val="0"/>
              </w:numPr>
              <w:spacing w:line="240" w:lineRule="auto"/>
              <w:jc w:val="left"/>
              <w:rPr>
                <w:rFonts w:hint="eastAsia" w:asciiTheme="minorEastAsia" w:hAnsiTheme="minorEastAsia" w:eastAsiaTheme="minorEastAsia" w:cstheme="minorEastAsia"/>
                <w:sz w:val="21"/>
                <w:szCs w:val="21"/>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w:t>
            </w:r>
            <w:r>
              <w:rPr>
                <w:rFonts w:hint="eastAsia" w:asciiTheme="minorEastAsia" w:hAnsiTheme="minorEastAsia" w:eastAsiaTheme="minorEastAsia" w:cstheme="minorEastAsia"/>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序号3.心肺复苏机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心肺复苏机/1台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sz w:val="21"/>
                <w:szCs w:val="21"/>
              </w:rPr>
              <w:t>增加心脏骤停患者心脏和脑的血流，并为后续的除颤、静脉用药、血管重建等起到桥梁承接作用</w:t>
            </w:r>
            <w:r>
              <w:rPr>
                <w:rFonts w:hint="eastAsia" w:ascii="宋体" w:hAnsi="宋体" w:eastAsia="宋体" w:cs="宋体"/>
                <w:sz w:val="21"/>
                <w:szCs w:val="21"/>
                <w:lang w:eastAsia="zh-CN"/>
              </w:rPr>
              <w:t>。</w:t>
            </w:r>
          </w:p>
          <w:p>
            <w:pPr>
              <w:spacing w:line="240" w:lineRule="auto"/>
              <w:rPr>
                <w:rFonts w:hint="eastAsia" w:ascii="宋体" w:hAnsi="宋体" w:eastAsia="宋体" w:cs="宋体"/>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sz w:val="21"/>
                <w:szCs w:val="21"/>
              </w:rPr>
              <w:t>心肺复苏机械设备，</w:t>
            </w:r>
            <w:r>
              <w:rPr>
                <w:rFonts w:hint="eastAsia" w:ascii="宋体" w:hAnsi="宋体" w:eastAsia="宋体" w:cs="宋体"/>
                <w:color w:val="000000"/>
                <w:kern w:val="0"/>
                <w:sz w:val="21"/>
                <w:szCs w:val="21"/>
                <w:lang w:bidi="ar"/>
              </w:rPr>
              <w:t>用于心脏骤停抢救</w:t>
            </w:r>
            <w:r>
              <w:rPr>
                <w:rFonts w:hint="eastAsia" w:ascii="宋体" w:hAnsi="宋体" w:eastAsia="宋体" w:cs="宋体"/>
                <w:color w:val="000000"/>
                <w:kern w:val="0"/>
                <w:sz w:val="21"/>
                <w:szCs w:val="21"/>
                <w:lang w:eastAsia="zh-CN" w:bidi="ar"/>
              </w:rPr>
              <w:t>。</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47"/>
              <w:framePr w:wrap="auto" w:vAnchor="margin" w:hAnchor="text" w:yAlign="inline"/>
              <w:numPr>
                <w:ilvl w:val="0"/>
                <w:numId w:val="3"/>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符合心肺复苏及心血管急救指南中关于心肺复苏替代技术和辅助装置的相关规范</w:t>
            </w:r>
            <w:r>
              <w:rPr>
                <w:rFonts w:hint="eastAsia" w:ascii="宋体" w:hAnsi="宋体" w:eastAsia="宋体" w:cs="宋体"/>
                <w:sz w:val="21"/>
                <w:szCs w:val="21"/>
                <w:highlight w:val="none"/>
                <w:lang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eastAsia="zh-TW"/>
              </w:rPr>
              <w:t>心脏按压频率：</w:t>
            </w:r>
            <w:r>
              <w:rPr>
                <w:rFonts w:hint="eastAsia" w:ascii="宋体" w:hAnsi="宋体" w:eastAsia="宋体" w:cs="宋体"/>
                <w:sz w:val="21"/>
                <w:szCs w:val="21"/>
                <w:highlight w:val="none"/>
              </w:rPr>
              <w:t xml:space="preserve"> 100</w:t>
            </w: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lang w:val="zh-TW" w:eastAsia="zh-TW"/>
              </w:rPr>
              <w:t>次</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TW" w:eastAsia="zh-TW"/>
              </w:rPr>
              <w:t>分钟</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按压深度调节范围：</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cm-</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.0cm</w:t>
            </w:r>
            <w:r>
              <w:rPr>
                <w:rFonts w:hint="eastAsia" w:ascii="宋体" w:hAnsi="宋体" w:eastAsia="宋体" w:cs="宋体"/>
                <w:sz w:val="21"/>
                <w:szCs w:val="21"/>
                <w:highlight w:val="none"/>
                <w:lang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按压深度调节方式：连续可调</w:t>
            </w:r>
            <w:r>
              <w:rPr>
                <w:rFonts w:hint="eastAsia" w:ascii="宋体" w:hAnsi="宋体" w:eastAsia="宋体" w:cs="宋体"/>
                <w:sz w:val="21"/>
                <w:szCs w:val="21"/>
                <w:highlight w:val="none"/>
                <w:lang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按压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TW" w:eastAsia="zh-TW"/>
              </w:rPr>
              <w:t>释放比率：</w:t>
            </w:r>
            <w:r>
              <w:rPr>
                <w:rFonts w:hint="eastAsia" w:ascii="宋体" w:hAnsi="宋体" w:eastAsia="宋体" w:cs="宋体"/>
                <w:sz w:val="21"/>
                <w:szCs w:val="21"/>
                <w:highlight w:val="none"/>
              </w:rPr>
              <w:t>1</w:t>
            </w:r>
            <w:r>
              <w:rPr>
                <w:rFonts w:hint="eastAsia" w:ascii="宋体" w:hAnsi="宋体" w:eastAsia="宋体" w:cs="宋体"/>
                <w:sz w:val="21"/>
                <w:szCs w:val="21"/>
                <w:highlight w:val="none"/>
                <w:rtl/>
                <w:lang w:val="ar-SA"/>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TW" w:eastAsia="zh-TW"/>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rtl/>
                <w:lang w:val="ar-SA"/>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lang w:val="zh-TW" w:eastAsia="zh-TW"/>
              </w:rPr>
              <w:t>）</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具有胸厚测量指示功能；</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zh-TW" w:eastAsia="zh-TW"/>
              </w:rPr>
              <w:t>按压方式为模拟徒手按压</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主机及主机操作控制部位在患者上方，使用中不易造成主机污染，仪器使用完毕后易于清洗消毒</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具有按压深度窗口；</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设备连续不间断工作时间</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TW" w:eastAsia="zh-TW"/>
              </w:rPr>
              <w:t>小时</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TW" w:eastAsia="zh-TW"/>
              </w:rPr>
              <w:t>仪器工作时无需专用耗材</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设备</w:t>
            </w:r>
            <w:r>
              <w:rPr>
                <w:rFonts w:hint="eastAsia" w:ascii="宋体" w:hAnsi="宋体" w:eastAsia="宋体" w:cs="宋体"/>
                <w:sz w:val="21"/>
                <w:szCs w:val="21"/>
                <w:highlight w:val="none"/>
                <w:lang w:val="en-US" w:eastAsia="zh-CN"/>
              </w:rPr>
              <w:t>具有患者</w:t>
            </w:r>
            <w:r>
              <w:rPr>
                <w:rFonts w:hint="eastAsia" w:ascii="宋体" w:hAnsi="宋体" w:eastAsia="宋体" w:cs="宋体"/>
                <w:sz w:val="21"/>
                <w:szCs w:val="21"/>
                <w:highlight w:val="none"/>
                <w:lang w:val="zh-TW" w:eastAsia="zh-TW"/>
              </w:rPr>
              <w:t>固定</w:t>
            </w:r>
            <w:r>
              <w:rPr>
                <w:rFonts w:hint="eastAsia" w:ascii="宋体" w:hAnsi="宋体" w:eastAsia="宋体" w:cs="宋体"/>
                <w:sz w:val="21"/>
                <w:szCs w:val="21"/>
                <w:highlight w:val="none"/>
                <w:lang w:val="en-US" w:eastAsia="zh-CN"/>
              </w:rPr>
              <w:t>装置；</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仪器对监护、除颤设备无电磁干扰</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TW" w:eastAsia="zh-TW"/>
              </w:rPr>
              <w:t>仪器重量 ＜10kg</w:t>
            </w:r>
            <w:r>
              <w:rPr>
                <w:rFonts w:hint="eastAsia" w:ascii="宋体" w:hAnsi="宋体" w:eastAsia="宋体" w:cs="宋体"/>
                <w:sz w:val="21"/>
                <w:szCs w:val="21"/>
                <w:highlight w:val="none"/>
                <w:lang w:val="zh-TW" w:eastAsia="zh-CN"/>
              </w:rPr>
              <w:t>；</w:t>
            </w:r>
          </w:p>
          <w:p>
            <w:pPr>
              <w:numPr>
                <w:ilvl w:val="0"/>
                <w:numId w:val="3"/>
              </w:numPr>
              <w:bidi w:val="0"/>
              <w:spacing w:line="240" w:lineRule="auto"/>
              <w:ind w:left="0" w:leftChars="0" w:firstLine="0" w:firstLineChars="0"/>
              <w:jc w:val="both"/>
              <w:rPr>
                <w:rFonts w:hint="default"/>
                <w:lang w:val="en-US" w:eastAsia="zh-CN"/>
              </w:rPr>
            </w:pPr>
            <w:r>
              <w:rPr>
                <w:rFonts w:hint="eastAsia" w:ascii="宋体" w:hAnsi="宋体" w:eastAsia="宋体" w:cs="宋体"/>
                <w:sz w:val="21"/>
                <w:szCs w:val="21"/>
                <w:highlight w:val="none"/>
                <w:lang w:val="en-US" w:eastAsia="zh-CN"/>
              </w:rPr>
              <w:t xml:space="preserve"> 工作原理：电动电控。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序号4.升降台</w:t>
      </w:r>
    </w:p>
    <w:tbl>
      <w:tblPr>
        <w:tblStyle w:val="25"/>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8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6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升降台/1个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3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62"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101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一、产品功能描述：术中摆放手术备品</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二、产品用途描述：术中摆放手术备品</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ind w:left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1.托盘长</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600mm，宽</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400mm，盘深</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20mm，内外侧边缘圆角包边处理；</w:t>
            </w:r>
          </w:p>
          <w:p>
            <w:pPr>
              <w:numPr>
                <w:ilvl w:val="0"/>
                <w:numId w:val="0"/>
              </w:numPr>
              <w:ind w:left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2.托盘可气动升降，调节高度</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130mm；</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vertAlign w:val="baseline"/>
                <w:lang w:val="en-US" w:eastAsia="uk-UA"/>
              </w:rPr>
              <w:t xml:space="preserve">由优质 304 不锈钢制成，表面平整光滑，坚固耐用，防腐蚀，板材厚度 ≥1.0mm </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管材厚度≥1.2mm</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r>
              <w:rPr>
                <w:rFonts w:hint="eastAsia" w:ascii="宋体" w:hAnsi="宋体" w:eastAsia="宋体" w:cs="宋体"/>
                <w:vertAlign w:val="baseline"/>
                <w:lang w:val="en-US" w:eastAsia="uk-UA"/>
              </w:rPr>
              <w:t>板材表面经过拉丝美化处理，管材表面经过抛光处理，表面光洁度好，避免人受到伤害、易于清理</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r>
              <w:rPr>
                <w:rFonts w:hint="eastAsia" w:ascii="宋体" w:hAnsi="宋体" w:eastAsia="宋体" w:cs="宋体"/>
                <w:vertAlign w:val="baseline"/>
                <w:lang w:val="en-US" w:eastAsia="uk-UA"/>
              </w:rPr>
              <w:t>底座加厚方管，增加车架的稳定性</w:t>
            </w:r>
            <w:r>
              <w:rPr>
                <w:rFonts w:hint="eastAsia" w:ascii="宋体" w:hAnsi="宋体" w:eastAsia="宋体" w:cs="宋体"/>
                <w:vertAlign w:val="baseline"/>
                <w:lang w:val="en-US" w:eastAsia="zh-CN"/>
              </w:rPr>
              <w:t>；</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6.</w:t>
            </w:r>
            <w:r>
              <w:rPr>
                <w:rFonts w:hint="eastAsia" w:ascii="宋体" w:hAnsi="宋体" w:eastAsia="宋体" w:cs="宋体"/>
                <w:vertAlign w:val="baseline"/>
                <w:lang w:val="en-US" w:eastAsia="uk-UA"/>
              </w:rPr>
              <w:t>底部</w:t>
            </w:r>
            <w:r>
              <w:rPr>
                <w:rFonts w:hint="eastAsia" w:ascii="宋体" w:hAnsi="宋体" w:eastAsia="宋体" w:cs="宋体"/>
                <w:vertAlign w:val="baseline"/>
                <w:lang w:val="en-US" w:eastAsia="zh-CN"/>
              </w:rPr>
              <w:t>配备</w:t>
            </w:r>
            <w:r>
              <w:rPr>
                <w:rFonts w:hint="eastAsia" w:ascii="宋体" w:hAnsi="宋体" w:eastAsia="宋体" w:cs="宋体"/>
                <w:vertAlign w:val="baseline"/>
                <w:lang w:val="en-US" w:eastAsia="uk-UA"/>
              </w:rPr>
              <w:t>抗震医用静音轮</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可在平整地面上任意推动、任意转向</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脚轮配置刹车，可在任意状态下使用刹车功能</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7" w:hRule="atLeast"/>
          <w:jc w:val="center"/>
        </w:trPr>
        <w:tc>
          <w:tcPr>
            <w:tcW w:w="101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序号5.手术车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手术车/1台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可辅置无菌平面、放置手术用物及器械等</w:t>
            </w:r>
            <w:r>
              <w:rPr>
                <w:rFonts w:hint="eastAsia" w:ascii="宋体" w:hAnsi="宋体" w:cs="宋体"/>
                <w:i w:val="0"/>
                <w:color w:val="auto"/>
                <w:kern w:val="0"/>
                <w:sz w:val="24"/>
                <w:szCs w:val="24"/>
                <w:u w:val="none"/>
                <w:lang w:val="en-US" w:eastAsia="zh-CN" w:bidi="ar"/>
              </w:rPr>
              <w:t>。</w:t>
            </w:r>
          </w:p>
          <w:p>
            <w:pPr>
              <w:numPr>
                <w:ilvl w:val="0"/>
                <w:numId w:val="4"/>
              </w:numPr>
              <w:rPr>
                <w:rFonts w:hint="default" w:ascii="宋体" w:hAnsi="宋体" w:eastAsia="宋体" w:cs="宋体"/>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用于手术中放置无菌器械及用物。</w:t>
            </w:r>
          </w:p>
          <w:p>
            <w:pPr>
              <w:numPr>
                <w:ilvl w:val="0"/>
                <w:numId w:val="4"/>
              </w:numPr>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产品技术参数：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1.尺寸：长72cm，宽43cm，高105cm；</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ascii="宋体" w:hAnsi="宋体" w:eastAsia="宋体" w:cs="宋体"/>
                <w:vertAlign w:val="baseline"/>
                <w:lang w:val="en-US" w:eastAsia="uk-UA"/>
              </w:rPr>
              <w:t>由优质 304 不锈钢制成</w:t>
            </w:r>
            <w:r>
              <w:rPr>
                <w:rFonts w:hint="eastAsia" w:ascii="宋体" w:hAnsi="宋体" w:eastAsia="宋体" w:cs="宋体"/>
                <w:vertAlign w:val="baseline"/>
                <w:lang w:val="en-US" w:eastAsia="zh-CN"/>
              </w:rPr>
              <w:t>双层平面，且有挡边，</w:t>
            </w:r>
            <w:r>
              <w:rPr>
                <w:rFonts w:hint="eastAsia" w:ascii="宋体" w:hAnsi="宋体" w:eastAsia="宋体" w:cs="宋体"/>
                <w:vertAlign w:val="baseline"/>
                <w:lang w:val="en-US" w:eastAsia="uk-UA"/>
              </w:rPr>
              <w:t>表面平整光滑，坚固耐用，防腐蚀</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vertAlign w:val="baseline"/>
                <w:lang w:val="en-US" w:eastAsia="uk-UA"/>
              </w:rPr>
              <w:t>板材表面经过拉丝美化处理，管材表面经过抛光处理，表面光洁度好，避免人受到伤害、易于清理</w:t>
            </w:r>
            <w:r>
              <w:rPr>
                <w:rFonts w:hint="eastAsia" w:ascii="宋体" w:hAnsi="宋体" w:eastAsia="宋体" w:cs="宋体"/>
                <w:vertAlign w:val="baseline"/>
                <w:lang w:val="en-US" w:eastAsia="zh-CN"/>
              </w:rPr>
              <w:t>；</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4.</w:t>
            </w:r>
            <w:r>
              <w:rPr>
                <w:rFonts w:hint="eastAsia" w:ascii="宋体" w:hAnsi="宋体" w:eastAsia="宋体" w:cs="宋体"/>
                <w:vertAlign w:val="baseline"/>
                <w:lang w:val="en-US" w:eastAsia="uk-UA"/>
              </w:rPr>
              <w:t>底部</w:t>
            </w:r>
            <w:r>
              <w:rPr>
                <w:rFonts w:hint="eastAsia" w:ascii="宋体" w:hAnsi="宋体" w:eastAsia="宋体" w:cs="宋体"/>
                <w:vertAlign w:val="baseline"/>
                <w:lang w:val="en-US" w:eastAsia="zh-CN"/>
              </w:rPr>
              <w:t>配备</w:t>
            </w:r>
            <w:r>
              <w:rPr>
                <w:rFonts w:hint="eastAsia" w:ascii="宋体" w:hAnsi="宋体" w:eastAsia="宋体" w:cs="宋体"/>
                <w:vertAlign w:val="baseline"/>
                <w:lang w:val="en-US" w:eastAsia="uk-UA"/>
              </w:rPr>
              <w:t>抗震医用静音轮</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可在平整地面上任意推动、任意转向</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脚轮配置刹车，可在任意状态下使用刹车功能</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序号6.手术车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手术车/1台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可辅置无菌平面、放置手术用物及器械等</w:t>
            </w:r>
            <w:r>
              <w:rPr>
                <w:rFonts w:hint="eastAsia" w:ascii="宋体" w:hAnsi="宋体" w:cs="宋体"/>
                <w:i w:val="0"/>
                <w:color w:val="auto"/>
                <w:kern w:val="0"/>
                <w:sz w:val="24"/>
                <w:szCs w:val="24"/>
                <w:u w:val="none"/>
                <w:lang w:val="en-US" w:eastAsia="zh-CN" w:bidi="ar"/>
              </w:rPr>
              <w:t>。</w:t>
            </w:r>
          </w:p>
          <w:p>
            <w:pPr>
              <w:numPr>
                <w:numId w:val="0"/>
              </w:numPr>
              <w:rPr>
                <w:rFonts w:hint="default" w:ascii="宋体" w:hAnsi="宋体" w:eastAsia="宋体" w:cs="宋体"/>
                <w:vertAlign w:val="baseline"/>
                <w:lang w:val="en-US" w:eastAsia="zh-CN"/>
              </w:rPr>
            </w:pPr>
            <w:r>
              <w:rPr>
                <w:rFonts w:hint="eastAsia" w:ascii="Times New Roman" w:hAnsi="Times New Roman"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用于手术中放置无菌器械及用物。</w:t>
            </w:r>
          </w:p>
          <w:p>
            <w:pPr>
              <w:numPr>
                <w:numId w:val="0"/>
              </w:numPr>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三、</w:t>
            </w:r>
            <w:r>
              <w:rPr>
                <w:rFonts w:hint="default" w:ascii="Times New Roman" w:hAnsi="Times New Roman" w:eastAsia="宋体" w:cs="Times New Roman"/>
                <w:sz w:val="21"/>
                <w:szCs w:val="21"/>
                <w:vertAlign w:val="baseline"/>
                <w:lang w:val="en-US" w:eastAsia="zh-CN"/>
              </w:rPr>
              <w:t>产品技术参数：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1.尺寸：长</w:t>
            </w:r>
            <w:r>
              <w:rPr>
                <w:rFonts w:hint="eastAsia" w:cs="宋体"/>
                <w:kern w:val="2"/>
                <w:sz w:val="21"/>
                <w:szCs w:val="24"/>
                <w:vertAlign w:val="baseline"/>
                <w:lang w:val="en-US" w:eastAsia="zh-CN" w:bidi="ar-SA"/>
              </w:rPr>
              <w:t>140</w:t>
            </w:r>
            <w:r>
              <w:rPr>
                <w:rFonts w:hint="eastAsia" w:ascii="宋体" w:hAnsi="宋体" w:eastAsia="宋体" w:cs="宋体"/>
                <w:kern w:val="2"/>
                <w:sz w:val="21"/>
                <w:szCs w:val="24"/>
                <w:vertAlign w:val="baseline"/>
                <w:lang w:val="en-US" w:eastAsia="zh-CN" w:bidi="ar-SA"/>
              </w:rPr>
              <w:t>cm，宽</w:t>
            </w:r>
            <w:r>
              <w:rPr>
                <w:rFonts w:hint="eastAsia" w:cs="宋体"/>
                <w:kern w:val="2"/>
                <w:sz w:val="21"/>
                <w:szCs w:val="24"/>
                <w:vertAlign w:val="baseline"/>
                <w:lang w:val="en-US" w:eastAsia="zh-CN" w:bidi="ar-SA"/>
              </w:rPr>
              <w:t>60</w:t>
            </w:r>
            <w:r>
              <w:rPr>
                <w:rFonts w:hint="eastAsia" w:ascii="宋体" w:hAnsi="宋体" w:eastAsia="宋体" w:cs="宋体"/>
                <w:kern w:val="2"/>
                <w:sz w:val="21"/>
                <w:szCs w:val="24"/>
                <w:vertAlign w:val="baseline"/>
                <w:lang w:val="en-US" w:eastAsia="zh-CN" w:bidi="ar-SA"/>
              </w:rPr>
              <w:t>cm，高105cm；</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ascii="宋体" w:hAnsi="宋体" w:eastAsia="宋体" w:cs="宋体"/>
                <w:vertAlign w:val="baseline"/>
                <w:lang w:val="en-US" w:eastAsia="uk-UA"/>
              </w:rPr>
              <w:t>由优质 304 不锈钢制成</w:t>
            </w:r>
            <w:r>
              <w:rPr>
                <w:rFonts w:hint="eastAsia" w:ascii="宋体" w:hAnsi="宋体" w:eastAsia="宋体" w:cs="宋体"/>
                <w:vertAlign w:val="baseline"/>
                <w:lang w:val="en-US" w:eastAsia="zh-CN"/>
              </w:rPr>
              <w:t>双层平面，且有挡边，</w:t>
            </w:r>
            <w:r>
              <w:rPr>
                <w:rFonts w:hint="eastAsia" w:ascii="宋体" w:hAnsi="宋体" w:eastAsia="宋体" w:cs="宋体"/>
                <w:vertAlign w:val="baseline"/>
                <w:lang w:val="en-US" w:eastAsia="uk-UA"/>
              </w:rPr>
              <w:t>表面平整光滑，坚固耐用，防腐蚀</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vertAlign w:val="baseline"/>
                <w:lang w:val="en-US" w:eastAsia="uk-UA"/>
              </w:rPr>
              <w:t>板材表面经过拉丝美化处理，管材表面经过抛光处理，表面光洁度好，避免人受到伤害、易于清理</w:t>
            </w:r>
            <w:r>
              <w:rPr>
                <w:rFonts w:hint="eastAsia" w:ascii="宋体" w:hAnsi="宋体" w:eastAsia="宋体" w:cs="宋体"/>
                <w:vertAlign w:val="baseline"/>
                <w:lang w:val="en-US" w:eastAsia="zh-CN"/>
              </w:rPr>
              <w:t>；</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4.</w:t>
            </w:r>
            <w:r>
              <w:rPr>
                <w:rFonts w:hint="eastAsia" w:ascii="宋体" w:hAnsi="宋体" w:eastAsia="宋体" w:cs="宋体"/>
                <w:vertAlign w:val="baseline"/>
                <w:lang w:val="en-US" w:eastAsia="uk-UA"/>
              </w:rPr>
              <w:t>底部</w:t>
            </w:r>
            <w:r>
              <w:rPr>
                <w:rFonts w:hint="eastAsia" w:ascii="宋体" w:hAnsi="宋体" w:eastAsia="宋体" w:cs="宋体"/>
                <w:vertAlign w:val="baseline"/>
                <w:lang w:val="en-US" w:eastAsia="zh-CN"/>
              </w:rPr>
              <w:t>配备</w:t>
            </w:r>
            <w:r>
              <w:rPr>
                <w:rFonts w:hint="eastAsia" w:ascii="宋体" w:hAnsi="宋体" w:eastAsia="宋体" w:cs="宋体"/>
                <w:vertAlign w:val="baseline"/>
                <w:lang w:val="en-US" w:eastAsia="uk-UA"/>
              </w:rPr>
              <w:t>抗震医用静音轮</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可在平整地面上任意推动、任意转向</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脚轮配置刹车，可在任意状态下使用刹车功能</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序号7.高频手术设备</w:t>
      </w:r>
    </w:p>
    <w:tbl>
      <w:tblPr>
        <w:tblStyle w:val="25"/>
        <w:tblW w:w="10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7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高频手术设备/2台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7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44"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2" w:hRule="atLeast"/>
          <w:jc w:val="center"/>
        </w:trPr>
        <w:tc>
          <w:tcPr>
            <w:tcW w:w="108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highlight w:val="none"/>
              </w:rPr>
              <w:t>适用于手术中对人体软组织切割、凝血及消融</w:t>
            </w:r>
            <w:r>
              <w:rPr>
                <w:rFonts w:hint="eastAsia"/>
                <w:lang w:eastAsia="zh-CN"/>
              </w:rPr>
              <w:t>。</w:t>
            </w:r>
          </w:p>
          <w:p>
            <w:pPr>
              <w:numPr>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highlight w:val="none"/>
              </w:rPr>
              <w:t>适用于手术中对人体软组织切割、凝血及消融</w:t>
            </w:r>
            <w:r>
              <w:rPr>
                <w:rFonts w:hint="eastAsia"/>
                <w:lang w:eastAsia="zh-CN"/>
              </w:rPr>
              <w:t>。</w:t>
            </w:r>
          </w:p>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三、</w:t>
            </w:r>
            <w:r>
              <w:rPr>
                <w:rFonts w:hint="default" w:ascii="Times New Roman" w:hAnsi="Times New Roman" w:eastAsia="宋体" w:cs="Times New Roman"/>
                <w:sz w:val="21"/>
                <w:szCs w:val="21"/>
                <w:vertAlign w:val="baseline"/>
                <w:lang w:val="en-US" w:eastAsia="zh-CN"/>
              </w:rPr>
              <w:t>产品技术参数：</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1.单极工作频率≥</w:t>
            </w:r>
            <w:r>
              <w:rPr>
                <w:rFonts w:hint="eastAsia" w:ascii="宋体" w:hAnsi="宋体" w:cs="Times New Roman"/>
                <w:szCs w:val="21"/>
                <w:highlight w:val="none"/>
              </w:rPr>
              <w:t>3.5MHz</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2.双极工作频率≥</w:t>
            </w:r>
            <w:r>
              <w:rPr>
                <w:rFonts w:hint="eastAsia" w:ascii="宋体" w:hAnsi="宋体" w:cs="Times New Roman"/>
                <w:szCs w:val="21"/>
                <w:highlight w:val="none"/>
              </w:rPr>
              <w:t>1.5MHz</w:t>
            </w:r>
            <w:r>
              <w:rPr>
                <w:rFonts w:hint="eastAsia" w:ascii="宋体" w:hAnsi="宋体" w:cs="Times New Roman"/>
                <w:szCs w:val="21"/>
                <w:highlight w:val="none"/>
                <w:lang w:eastAsia="zh-CN"/>
              </w:rPr>
              <w:t>；</w:t>
            </w:r>
          </w:p>
          <w:p>
            <w:pPr>
              <w:bidi w:val="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cs="Times New Roman"/>
                <w:szCs w:val="21"/>
                <w:highlight w:val="none"/>
              </w:rPr>
              <w:t>工作模式</w:t>
            </w:r>
            <w:r>
              <w:rPr>
                <w:rFonts w:hint="eastAsia" w:ascii="宋体" w:hAnsi="宋体" w:cs="Times New Roman"/>
                <w:szCs w:val="21"/>
                <w:highlight w:val="none"/>
                <w:lang w:val="en-US" w:eastAsia="zh-CN"/>
              </w:rPr>
              <w:t>≥4种，至少包含</w:t>
            </w:r>
            <w:r>
              <w:rPr>
                <w:rFonts w:hint="eastAsia" w:ascii="宋体" w:hAnsi="宋体" w:cs="Times New Roman"/>
                <w:szCs w:val="21"/>
                <w:highlight w:val="none"/>
              </w:rPr>
              <w:t>凝血、切割、切/凝</w:t>
            </w:r>
            <w:r>
              <w:rPr>
                <w:rFonts w:hint="eastAsia" w:ascii="宋体" w:hAnsi="宋体" w:cs="Times New Roman"/>
                <w:szCs w:val="21"/>
                <w:highlight w:val="none"/>
                <w:lang w:eastAsia="zh-CN"/>
              </w:rPr>
              <w:t>、</w:t>
            </w:r>
            <w:r>
              <w:rPr>
                <w:rFonts w:hint="eastAsia" w:ascii="宋体" w:hAnsi="宋体" w:cs="Times New Roman"/>
                <w:szCs w:val="21"/>
                <w:highlight w:val="none"/>
              </w:rPr>
              <w:t>消融</w:t>
            </w:r>
            <w:r>
              <w:rPr>
                <w:rFonts w:hint="eastAsia" w:ascii="宋体" w:hAnsi="宋体" w:cs="Times New Roman"/>
                <w:szCs w:val="21"/>
                <w:highlight w:val="none"/>
                <w:lang w:val="en-US" w:eastAsia="zh-CN"/>
              </w:rPr>
              <w:t>模式等；</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4.具有</w:t>
            </w:r>
            <w:r>
              <w:rPr>
                <w:rFonts w:hint="eastAsia" w:ascii="宋体" w:hAnsi="宋体" w:cs="Times New Roman"/>
                <w:szCs w:val="21"/>
                <w:highlight w:val="none"/>
              </w:rPr>
              <w:t>手柄指压及脚踏开关两种控制方式</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rPr>
            </w:pPr>
            <w:r>
              <w:rPr>
                <w:rFonts w:hint="eastAsia" w:ascii="宋体" w:hAnsi="宋体" w:cs="Times New Roman"/>
                <w:szCs w:val="21"/>
                <w:highlight w:val="none"/>
                <w:lang w:val="en-US" w:eastAsia="zh-CN"/>
              </w:rPr>
              <w:t>5.</w:t>
            </w:r>
            <w:r>
              <w:rPr>
                <w:rFonts w:hint="eastAsia" w:ascii="宋体" w:hAnsi="宋体" w:cs="Times New Roman"/>
                <w:szCs w:val="21"/>
                <w:highlight w:val="none"/>
              </w:rPr>
              <w:t>切割</w:t>
            </w:r>
            <w:r>
              <w:rPr>
                <w:rFonts w:hint="eastAsia" w:ascii="宋体" w:hAnsi="宋体" w:cs="Times New Roman"/>
                <w:szCs w:val="21"/>
                <w:highlight w:val="none"/>
                <w:lang w:val="en-US" w:eastAsia="zh-CN"/>
              </w:rPr>
              <w:t>功率≥9</w:t>
            </w:r>
            <w:r>
              <w:rPr>
                <w:rFonts w:hint="eastAsia" w:ascii="宋体" w:hAnsi="宋体" w:cs="Times New Roman"/>
                <w:szCs w:val="21"/>
                <w:highlight w:val="none"/>
              </w:rPr>
              <w:t>0W；</w:t>
            </w:r>
          </w:p>
          <w:p>
            <w:pPr>
              <w:bidi w:val="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6.</w:t>
            </w:r>
            <w:r>
              <w:rPr>
                <w:rFonts w:hint="eastAsia" w:ascii="宋体" w:hAnsi="宋体" w:cs="Times New Roman"/>
                <w:szCs w:val="21"/>
                <w:highlight w:val="none"/>
              </w:rPr>
              <w:t>凝血</w:t>
            </w:r>
            <w:r>
              <w:rPr>
                <w:rFonts w:hint="eastAsia" w:ascii="宋体" w:hAnsi="宋体" w:cs="Times New Roman"/>
                <w:szCs w:val="21"/>
                <w:highlight w:val="none"/>
                <w:lang w:val="en-US" w:eastAsia="zh-CN"/>
              </w:rPr>
              <w:t>功率≥5</w:t>
            </w:r>
            <w:r>
              <w:rPr>
                <w:rFonts w:hint="eastAsia" w:ascii="宋体" w:hAnsi="宋体" w:cs="Times New Roman"/>
                <w:szCs w:val="21"/>
                <w:highlight w:val="none"/>
              </w:rPr>
              <w:t>0W</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7.</w:t>
            </w:r>
            <w:r>
              <w:rPr>
                <w:rFonts w:hint="eastAsia" w:ascii="宋体" w:hAnsi="宋体" w:cs="Times New Roman"/>
                <w:szCs w:val="21"/>
                <w:highlight w:val="none"/>
              </w:rPr>
              <w:t>消融</w:t>
            </w:r>
            <w:r>
              <w:rPr>
                <w:rFonts w:hint="eastAsia" w:ascii="宋体" w:hAnsi="宋体" w:cs="Times New Roman"/>
                <w:szCs w:val="21"/>
                <w:highlight w:val="none"/>
                <w:lang w:val="en-US" w:eastAsia="zh-CN"/>
              </w:rPr>
              <w:t>功率≥5</w:t>
            </w:r>
            <w:r>
              <w:rPr>
                <w:rFonts w:hint="eastAsia" w:ascii="宋体" w:hAnsi="宋体" w:cs="Times New Roman"/>
                <w:szCs w:val="21"/>
                <w:highlight w:val="none"/>
              </w:rPr>
              <w:t>5W</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8.</w:t>
            </w:r>
            <w:r>
              <w:rPr>
                <w:rFonts w:hint="eastAsia" w:ascii="宋体" w:hAnsi="宋体" w:cs="Times New Roman"/>
                <w:szCs w:val="21"/>
                <w:highlight w:val="none"/>
              </w:rPr>
              <w:t>切/凝</w:t>
            </w:r>
            <w:r>
              <w:rPr>
                <w:rFonts w:hint="eastAsia" w:ascii="宋体" w:hAnsi="宋体" w:cs="Times New Roman"/>
                <w:szCs w:val="21"/>
                <w:highlight w:val="none"/>
                <w:lang w:val="en-US" w:eastAsia="zh-CN"/>
              </w:rPr>
              <w:t>功率≥7</w:t>
            </w:r>
            <w:r>
              <w:rPr>
                <w:rFonts w:hint="eastAsia" w:ascii="宋体" w:hAnsi="宋体" w:cs="Times New Roman"/>
                <w:szCs w:val="21"/>
                <w:highlight w:val="none"/>
              </w:rPr>
              <w:t>0W</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9.设备可连续使用≥12个小时，不会导致设备内部温度过高；</w:t>
            </w:r>
          </w:p>
          <w:p>
            <w:pPr>
              <w:bidi w:val="0"/>
              <w:jc w:val="both"/>
              <w:rPr>
                <w:rFonts w:hint="default"/>
                <w:highlight w:val="none"/>
                <w:lang w:val="en-US" w:eastAsia="zh-CN"/>
              </w:rPr>
            </w:pPr>
            <w:r>
              <w:rPr>
                <w:rFonts w:hint="eastAsia" w:ascii="宋体" w:hAnsi="宋体" w:cs="Times New Roman"/>
                <w:szCs w:val="21"/>
                <w:highlight w:val="none"/>
                <w:lang w:val="en-US" w:eastAsia="zh-CN"/>
              </w:rPr>
              <w:t>10.具有开机记忆功能，无需每次开机重新调整参数，带风冷系统，保证机器运转使用安全。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4" w:hRule="atLeast"/>
          <w:jc w:val="center"/>
        </w:trPr>
        <w:tc>
          <w:tcPr>
            <w:tcW w:w="108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序号8.二氧化碳眼科冷冻治疗仪</w:t>
      </w:r>
    </w:p>
    <w:tbl>
      <w:tblPr>
        <w:tblStyle w:val="25"/>
        <w:tblW w:w="11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1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二氧化碳眼科冷冻治疗仪/1台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1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6" w:hRule="atLeast"/>
          <w:jc w:val="center"/>
        </w:trPr>
        <w:tc>
          <w:tcPr>
            <w:tcW w:w="110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一、产品功能描述：适用于孔源性视网膜脱离实施巩膜外冷冻复位手术。</w:t>
            </w:r>
          </w:p>
          <w:p>
            <w:pPr>
              <w:spacing w:line="240" w:lineRule="auto"/>
              <w:rPr>
                <w:rFonts w:hint="eastAsia"/>
                <w:lang w:val="en-US" w:eastAsia="zh-CN"/>
              </w:rPr>
            </w:pPr>
            <w:r>
              <w:rPr>
                <w:rFonts w:hint="eastAsia"/>
                <w:lang w:val="en-US" w:eastAsia="zh-CN"/>
              </w:rPr>
              <w:t>二、产品用途描述：适用于孔源性视网膜脱离实施巩膜外冷冻复位手术。</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多阀体气路设计，</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无需电控。</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探头不冻眼睑，整笔可选择蒸汽消毒。</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在符合工作条件下，探头冷冻温度可达到-30℃至-75℃。</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操作由脚踏开关控制，可以连续操作，方便可靠。</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探头的冷冻和解冻循环周期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6秒。</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停止操作时，系统内的气体压力可自动排泄。</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多种笔型可选</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主要</w:t>
            </w:r>
            <w:r>
              <w:rPr>
                <w:rFonts w:hint="default" w:asciiTheme="minorHAnsi" w:hAnsiTheme="minorHAnsi" w:eastAsiaTheme="minorEastAsia" w:cstheme="minorBidi"/>
                <w:kern w:val="2"/>
                <w:sz w:val="21"/>
                <w:szCs w:val="24"/>
                <w:lang w:val="en-US" w:eastAsia="zh-CN" w:bidi="ar-SA"/>
              </w:rPr>
              <w:t>配置要求：</w:t>
            </w:r>
            <w:r>
              <w:rPr>
                <w:rFonts w:hint="eastAsia" w:asciiTheme="minorHAnsi" w:hAnsiTheme="minorHAnsi" w:eastAsiaTheme="minorEastAsia" w:cstheme="minorBidi"/>
                <w:kern w:val="2"/>
                <w:sz w:val="21"/>
                <w:szCs w:val="24"/>
                <w:lang w:val="en-US" w:eastAsia="zh-CN" w:bidi="ar-SA"/>
              </w:rPr>
              <w:t>主机1台、冷冻笔1支及其他附属配件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少于5年，并提供易损件报价和出保后保修价格；</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9"/>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序号9.电动锯骨机</w:t>
      </w:r>
    </w:p>
    <w:tbl>
      <w:tblPr>
        <w:tblStyle w:val="25"/>
        <w:tblW w:w="10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8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53"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i w:val="0"/>
                <w:color w:val="000000"/>
                <w:kern w:val="0"/>
                <w:sz w:val="21"/>
                <w:szCs w:val="21"/>
                <w:u w:val="none"/>
                <w:lang w:val="en-US" w:eastAsia="zh-CN" w:bidi="ar"/>
              </w:rPr>
              <w:t>电动锯骨机</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07"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453"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7</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3" w:hRule="atLeast"/>
          <w:jc w:val="center"/>
        </w:trPr>
        <w:tc>
          <w:tcPr>
            <w:tcW w:w="104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一、产品功能描述：电动锯骨机适用于切割硬组织、骨组织等的专用设备，可以对标本进行快速切割，并保证切面平整，保护标本形态，便于后续处理。</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二、产品用途描述：用于对骨组织等较硬组织进行切割，使其离断成可进行制片的大小，并进行脱钙及脱水处理，以便完成后续制片。</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1、切割速度可调整</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2、切割厚度与设定误差不超过0.5mm</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3、切割厚度可自由调整</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4、刀具安全耐用</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5、具备紧急停止按钮等安全保护装置</w:t>
            </w:r>
          </w:p>
          <w:p>
            <w:pPr>
              <w:bidi w:val="0"/>
              <w:rPr>
                <w:rFonts w:hint="default"/>
                <w:lang w:val="en-US" w:eastAsia="zh-CN"/>
              </w:rPr>
            </w:pPr>
            <w:r>
              <w:rPr>
                <w:rFonts w:hint="default" w:ascii="Times New Roman" w:hAnsi="Times New Roman" w:eastAsia="宋体" w:cs="Times New Roman"/>
                <w:i w:val="0"/>
                <w:color w:val="000000"/>
                <w:sz w:val="21"/>
                <w:szCs w:val="21"/>
                <w:u w:val="none"/>
                <w:vertAlign w:val="baseline"/>
                <w:lang w:val="en-US" w:eastAsia="zh-CN"/>
              </w:rPr>
              <w:t>6、操作简便安全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numId w:val="0"/>
              </w:numPr>
              <w:spacing w:line="240" w:lineRule="auto"/>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w:t>
            </w:r>
            <w:bookmarkStart w:id="14" w:name="_GoBack"/>
            <w:bookmarkEnd w:id="14"/>
            <w:r>
              <w:rPr>
                <w:rFonts w:hint="default" w:ascii="Times New Roman" w:hAnsi="Times New Roman" w:eastAsia="宋体" w:cs="Times New Roman"/>
                <w:i w:val="0"/>
                <w:iCs w:val="0"/>
                <w:color w:val="000000"/>
                <w:kern w:val="0"/>
                <w:sz w:val="21"/>
                <w:szCs w:val="21"/>
                <w:u w:val="none"/>
                <w:lang w:val="en-US" w:eastAsia="zh-CN" w:bidi="ar"/>
              </w:rPr>
              <w:t>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8"/>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8"/>
        <w:rPr>
          <w:rFonts w:hint="eastAsia"/>
          <w:highlight w:val="none"/>
        </w:rPr>
      </w:pP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8"/>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8"/>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8"/>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8"/>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8"/>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8"/>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8"/>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8"/>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8"/>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8"/>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9"/>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9"/>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9"/>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9"/>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9"/>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9"/>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9"/>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9"/>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9"/>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9"/>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8"/>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8"/>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9"/>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9"/>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9"/>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9"/>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9"/>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9"/>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9"/>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8"/>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8"/>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8"/>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8"/>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8"/>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8"/>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8"/>
        <w:rPr>
          <w:rFonts w:hint="eastAsia" w:ascii="宋体" w:hAnsi="宋体" w:eastAsia="宋体" w:cs="宋体"/>
          <w:b/>
          <w:bCs/>
          <w:color w:val="auto"/>
          <w:kern w:val="2"/>
          <w:sz w:val="24"/>
          <w:szCs w:val="24"/>
          <w:highlight w:val="none"/>
          <w:lang w:val="en-US" w:eastAsia="zh-CN" w:bidi="ar-SA"/>
        </w:rPr>
      </w:pPr>
    </w:p>
    <w:p>
      <w:pPr>
        <w:pStyle w:val="2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8"/>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DDB273C4"/>
    <w:multiLevelType w:val="singleLevel"/>
    <w:tmpl w:val="DDB273C4"/>
    <w:lvl w:ilvl="0" w:tentative="0">
      <w:start w:val="1"/>
      <w:numFmt w:val="decimal"/>
      <w:suff w:val="space"/>
      <w:lvlText w:val="%1."/>
      <w:lvlJc w:val="left"/>
    </w:lvl>
  </w:abstractNum>
  <w:abstractNum w:abstractNumId="3">
    <w:nsid w:val="EEE48310"/>
    <w:multiLevelType w:val="singleLevel"/>
    <w:tmpl w:val="EEE48310"/>
    <w:lvl w:ilvl="0" w:tentative="0">
      <w:start w:val="1"/>
      <w:numFmt w:val="chineseCounting"/>
      <w:suff w:val="nothing"/>
      <w:lvlText w:val="%1、"/>
      <w:lvlJc w:val="left"/>
      <w:rPr>
        <w:rFonts w:hint="eastAsia"/>
      </w:rPr>
    </w:lvl>
  </w:abstractNum>
  <w:abstractNum w:abstractNumId="4">
    <w:nsid w:val="FA91A7FF"/>
    <w:multiLevelType w:val="singleLevel"/>
    <w:tmpl w:val="FA91A7FF"/>
    <w:lvl w:ilvl="0" w:tentative="0">
      <w:start w:val="1"/>
      <w:numFmt w:val="decimal"/>
      <w:lvlText w:val="%1."/>
      <w:lvlJc w:val="left"/>
      <w:pPr>
        <w:ind w:left="425" w:hanging="425"/>
      </w:pPr>
      <w:rPr>
        <w:rFonts w:hint="default"/>
      </w:rPr>
    </w:lvl>
  </w:abstractNum>
  <w:abstractNum w:abstractNumId="5">
    <w:nsid w:val="15B6EBE5"/>
    <w:multiLevelType w:val="singleLevel"/>
    <w:tmpl w:val="15B6EBE5"/>
    <w:lvl w:ilvl="0" w:tentative="0">
      <w:start w:val="1"/>
      <w:numFmt w:val="decimal"/>
      <w:suff w:val="space"/>
      <w:lvlText w:val="%1."/>
      <w:lvlJc w:val="left"/>
      <w:rPr>
        <w:rFonts w:hint="default"/>
        <w:highlight w:val="none"/>
      </w:rPr>
    </w:lvl>
  </w:abstractNum>
  <w:abstractNum w:abstractNumId="6">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7">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8">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9">
    <w:name w:val="List Paragraph"/>
    <w:basedOn w:val="1"/>
    <w:qFormat/>
    <w:uiPriority w:val="0"/>
    <w:pPr>
      <w:ind w:firstLine="420" w:firstLineChars="200"/>
    </w:pPr>
  </w:style>
  <w:style w:type="character" w:customStyle="1" w:styleId="30">
    <w:name w:val="x11"/>
    <w:basedOn w:val="20"/>
    <w:qFormat/>
    <w:uiPriority w:val="0"/>
    <w:rPr>
      <w:rFonts w:ascii="Calibri" w:hAnsi="Calibri" w:cs="Calibri"/>
      <w:sz w:val="18"/>
      <w:szCs w:val="18"/>
    </w:rPr>
  </w:style>
  <w:style w:type="character" w:customStyle="1" w:styleId="31">
    <w:name w:val="x5"/>
    <w:basedOn w:val="20"/>
    <w:qFormat/>
    <w:uiPriority w:val="0"/>
    <w:rPr>
      <w:sz w:val="18"/>
      <w:szCs w:val="18"/>
    </w:rPr>
  </w:style>
  <w:style w:type="character" w:customStyle="1" w:styleId="32">
    <w:name w:val="x4"/>
    <w:basedOn w:val="20"/>
    <w:qFormat/>
    <w:uiPriority w:val="0"/>
    <w:rPr>
      <w:b/>
      <w:bCs/>
      <w:sz w:val="24"/>
      <w:szCs w:val="24"/>
    </w:rPr>
  </w:style>
  <w:style w:type="character" w:customStyle="1" w:styleId="33">
    <w:name w:val="x12"/>
    <w:basedOn w:val="20"/>
    <w:qFormat/>
    <w:uiPriority w:val="0"/>
    <w:rPr>
      <w:rFonts w:hint="default" w:ascii="Calibri" w:hAnsi="Calibri" w:cs="Calibri"/>
      <w:b/>
      <w:bCs/>
      <w:sz w:val="24"/>
      <w:szCs w:val="24"/>
    </w:rPr>
  </w:style>
  <w:style w:type="character" w:customStyle="1" w:styleId="34">
    <w:name w:val="x1"/>
    <w:basedOn w:val="20"/>
    <w:qFormat/>
    <w:uiPriority w:val="0"/>
    <w:rPr>
      <w:rFonts w:hint="default" w:ascii="Calibri" w:hAnsi="Calibri" w:cs="Calibri"/>
      <w:sz w:val="20"/>
      <w:szCs w:val="20"/>
    </w:rPr>
  </w:style>
  <w:style w:type="character" w:customStyle="1" w:styleId="35">
    <w:name w:val="x31"/>
    <w:basedOn w:val="20"/>
    <w:qFormat/>
    <w:uiPriority w:val="0"/>
    <w:rPr>
      <w:rFonts w:hint="default" w:ascii="Times New Roman" w:hAnsi="Times New Roman" w:cs="Times New Roman"/>
      <w:sz w:val="20"/>
      <w:szCs w:val="20"/>
    </w:rPr>
  </w:style>
  <w:style w:type="character" w:customStyle="1" w:styleId="36">
    <w:name w:val="x61"/>
    <w:basedOn w:val="20"/>
    <w:qFormat/>
    <w:uiPriority w:val="0"/>
    <w:rPr>
      <w:sz w:val="18"/>
      <w:szCs w:val="18"/>
    </w:rPr>
  </w:style>
  <w:style w:type="character" w:customStyle="1" w:styleId="37">
    <w:name w:val="x9"/>
    <w:basedOn w:val="20"/>
    <w:qFormat/>
    <w:uiPriority w:val="0"/>
    <w:rPr>
      <w:rFonts w:ascii="Sim Sun" w:hAnsi="Sim Sun" w:eastAsia="Sim Sun" w:cs="Sim Sun"/>
      <w:color w:val="000000"/>
      <w:sz w:val="24"/>
      <w:szCs w:val="24"/>
    </w:rPr>
  </w:style>
  <w:style w:type="character" w:customStyle="1" w:styleId="38">
    <w:name w:val="x10"/>
    <w:basedOn w:val="20"/>
    <w:qFormat/>
    <w:uiPriority w:val="0"/>
    <w:rPr>
      <w:rFonts w:ascii="����" w:hAnsi="����" w:eastAsia="����" w:cs="����"/>
      <w:sz w:val="24"/>
      <w:szCs w:val="24"/>
    </w:rPr>
  </w:style>
  <w:style w:type="character" w:customStyle="1" w:styleId="39">
    <w:name w:val="font51"/>
    <w:basedOn w:val="20"/>
    <w:qFormat/>
    <w:uiPriority w:val="0"/>
    <w:rPr>
      <w:rFonts w:hint="eastAsia" w:ascii="宋体" w:hAnsi="宋体" w:eastAsia="宋体" w:cs="宋体"/>
      <w:b/>
      <w:color w:val="000000"/>
      <w:sz w:val="24"/>
      <w:szCs w:val="24"/>
      <w:u w:val="none"/>
    </w:rPr>
  </w:style>
  <w:style w:type="paragraph" w:customStyle="1" w:styleId="40">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1">
    <w:name w:val="font31"/>
    <w:basedOn w:val="20"/>
    <w:qFormat/>
    <w:uiPriority w:val="0"/>
    <w:rPr>
      <w:rFonts w:hint="eastAsia" w:ascii="宋体" w:hAnsi="宋体" w:eastAsia="宋体" w:cs="宋体"/>
      <w:b/>
      <w:bCs/>
      <w:color w:val="000000"/>
      <w:sz w:val="21"/>
      <w:szCs w:val="21"/>
      <w:u w:val="none"/>
    </w:rPr>
  </w:style>
  <w:style w:type="table" w:customStyle="1" w:styleId="42">
    <w:name w:val="Table Normal"/>
    <w:semiHidden/>
    <w:unhideWhenUsed/>
    <w:qFormat/>
    <w:uiPriority w:val="0"/>
    <w:tblPr>
      <w:tblLayout w:type="fixed"/>
      <w:tblCellMar>
        <w:top w:w="0" w:type="dxa"/>
        <w:left w:w="0" w:type="dxa"/>
        <w:bottom w:w="0" w:type="dxa"/>
        <w:right w:w="0" w:type="dxa"/>
      </w:tblCellMar>
    </w:tblPr>
  </w:style>
  <w:style w:type="paragraph" w:customStyle="1" w:styleId="43">
    <w:name w:val="模板普通正文"/>
    <w:basedOn w:val="11"/>
    <w:qFormat/>
    <w:uiPriority w:val="0"/>
    <w:pPr>
      <w:spacing w:beforeLines="50" w:after="10"/>
      <w:ind w:firstLine="490" w:firstLineChars="175"/>
      <w:jc w:val="left"/>
    </w:p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2025-06-26T03:29:59Z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