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吉林大学第一医院25-YJ-091</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干养式单层猴笼</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8"/>
        <w:rPr>
          <w:rFonts w:hint="eastAsia"/>
          <w:highlight w:val="none"/>
        </w:rPr>
      </w:pPr>
    </w:p>
    <w:p>
      <w:pPr>
        <w:pStyle w:val="8"/>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7"/>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06</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7"/>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吉林大学第一医院25-YJ-091 干养式单层猴笼等设备采购项目议价公告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2118"/>
      <w:bookmarkStart w:id="1" w:name="_Toc28895"/>
      <w:bookmarkStart w:id="2" w:name="_Toc7300"/>
      <w:bookmarkStart w:id="3" w:name="_Toc11932"/>
      <w:bookmarkStart w:id="4" w:name="_Toc24593"/>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吉林大学第一医院25-YJ-091 干养式单层猴笼等设备采购项目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8"/>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8"/>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吉林大学第一医院25-YJ-091 干养式单层猴笼等设备采购项目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06</w:t>
      </w:r>
      <w:r>
        <w:rPr>
          <w:rFonts w:hint="eastAsia" w:ascii="宋体" w:hAnsi="宋体" w:cs="宋体"/>
          <w:highlight w:val="none"/>
        </w:rPr>
        <w:t>月</w:t>
      </w:r>
      <w:r>
        <w:rPr>
          <w:rFonts w:hint="eastAsia" w:ascii="宋体" w:hAnsi="宋体" w:cs="宋体"/>
          <w:highlight w:val="none"/>
          <w:lang w:val="en-US" w:eastAsia="zh-CN"/>
        </w:rPr>
        <w:t>06</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pPr>
        <w:pStyle w:val="4"/>
        <w:widowControl/>
        <w:spacing w:before="0" w:beforeAutospacing="0" w:after="0" w:afterAutospacing="0" w:line="315" w:lineRule="atLeast"/>
        <w:rPr>
          <w:rFonts w:cs="宋体"/>
          <w:sz w:val="33"/>
          <w:szCs w:val="33"/>
          <w:highlight w:val="none"/>
        </w:rPr>
      </w:pPr>
      <w:r>
        <w:rPr>
          <w:rStyle w:val="20"/>
          <w:rFonts w:cs="宋体"/>
          <w:b/>
          <w:sz w:val="24"/>
          <w:szCs w:val="24"/>
          <w:highlight w:val="none"/>
        </w:rPr>
        <w:t>一、项目基本情况</w:t>
      </w:r>
    </w:p>
    <w:p>
      <w:pPr>
        <w:pStyle w:val="18"/>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25-YJ-091</w:t>
      </w:r>
    </w:p>
    <w:p>
      <w:pPr>
        <w:pStyle w:val="18"/>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吉林大学第一医院25-YJ-091 干养式单层猴笼等设备采购项目</w:t>
      </w:r>
    </w:p>
    <w:p>
      <w:pPr>
        <w:pStyle w:val="18"/>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8"/>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8"/>
        <w:widowControl/>
        <w:spacing w:before="0" w:beforeAutospacing="0" w:after="0" w:afterAutospacing="0" w:line="315" w:lineRule="atLeast"/>
        <w:ind w:firstLine="480"/>
        <w:rPr>
          <w:rFonts w:hint="eastAsia" w:ascii="宋体" w:hAnsi="宋体" w:cs="宋体"/>
          <w:highlight w:val="none"/>
        </w:rPr>
      </w:pPr>
    </w:p>
    <w:tbl>
      <w:tblPr>
        <w:tblStyle w:val="23"/>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干养式单层猴笼</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8台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移液器</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9把</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神经肌肉刺激器</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俯卧位面部支撑头枕</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膳食调查模型（70件）</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2.66</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8"/>
        <w:widowControl/>
        <w:spacing w:before="0" w:beforeAutospacing="0" w:after="0" w:afterAutospacing="0" w:line="315" w:lineRule="atLeast"/>
        <w:ind w:firstLine="241" w:firstLineChars="100"/>
        <w:rPr>
          <w:rStyle w:val="20"/>
          <w:rFonts w:hint="eastAsia" w:ascii="宋体" w:hAnsi="宋体" w:cs="宋体"/>
          <w:highlight w:val="none"/>
        </w:rPr>
      </w:pPr>
      <w:r>
        <w:rPr>
          <w:rStyle w:val="20"/>
          <w:rFonts w:hint="eastAsia" w:ascii="宋体" w:hAnsi="宋体" w:cs="宋体"/>
          <w:highlight w:val="none"/>
        </w:rPr>
        <w:t>注：</w:t>
      </w:r>
      <w:r>
        <w:rPr>
          <w:rStyle w:val="20"/>
          <w:rFonts w:hint="eastAsia" w:ascii="宋体" w:hAnsi="宋体" w:cs="宋体"/>
          <w:highlight w:val="none"/>
          <w:lang w:val="en-US" w:eastAsia="zh-CN"/>
        </w:rPr>
        <w:t>本项目供应商报价不能超过采购预算金额，超过预算金额视为无效报价。</w:t>
      </w:r>
    </w:p>
    <w:p>
      <w:pPr>
        <w:pStyle w:val="18"/>
        <w:widowControl/>
        <w:spacing w:before="0" w:beforeAutospacing="0" w:after="0" w:afterAutospacing="0" w:line="315" w:lineRule="atLeast"/>
        <w:ind w:firstLine="241" w:firstLineChars="100"/>
        <w:rPr>
          <w:rStyle w:val="20"/>
          <w:rFonts w:hint="eastAsia" w:ascii="宋体" w:hAnsi="宋体" w:cs="宋体"/>
          <w:highlight w:val="none"/>
        </w:rPr>
      </w:pPr>
    </w:p>
    <w:p>
      <w:pPr>
        <w:pStyle w:val="18"/>
        <w:widowControl/>
        <w:spacing w:before="0" w:beforeAutospacing="0" w:after="0" w:afterAutospacing="0" w:line="315" w:lineRule="atLeast"/>
        <w:rPr>
          <w:rFonts w:hint="eastAsia" w:ascii="宋体" w:hAnsi="宋体" w:cs="宋体"/>
          <w:sz w:val="21"/>
          <w:szCs w:val="21"/>
          <w:highlight w:val="none"/>
        </w:rPr>
      </w:pPr>
      <w:r>
        <w:rPr>
          <w:rStyle w:val="20"/>
          <w:rFonts w:hint="eastAsia" w:ascii="宋体" w:hAnsi="宋体" w:cs="宋体"/>
          <w:highlight w:val="none"/>
        </w:rPr>
        <w:t>二、供应商资格要求：</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8"/>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8"/>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20"/>
          <w:rFonts w:hint="eastAsia" w:ascii="宋体" w:hAnsi="宋体" w:cs="宋体"/>
          <w:b/>
          <w:highlight w:val="none"/>
        </w:rPr>
      </w:pPr>
      <w:r>
        <w:rPr>
          <w:rStyle w:val="20"/>
          <w:rFonts w:cs="宋体"/>
          <w:b/>
          <w:sz w:val="24"/>
          <w:szCs w:val="24"/>
          <w:highlight w:val="none"/>
        </w:rPr>
        <w:t>三、</w:t>
      </w:r>
      <w:r>
        <w:rPr>
          <w:rStyle w:val="20"/>
          <w:rFonts w:cs="宋体"/>
          <w:b/>
          <w:sz w:val="28"/>
          <w:szCs w:val="28"/>
          <w:highlight w:val="none"/>
        </w:rPr>
        <w:t>报名</w:t>
      </w:r>
      <w:r>
        <w:rPr>
          <w:rStyle w:val="20"/>
          <w:rFonts w:hint="eastAsia" w:ascii="宋体" w:hAnsi="宋体" w:cs="宋体"/>
          <w:b/>
          <w:sz w:val="28"/>
          <w:szCs w:val="28"/>
          <w:highlight w:val="none"/>
        </w:rPr>
        <w:t>方式：</w:t>
      </w:r>
    </w:p>
    <w:p>
      <w:pPr>
        <w:pStyle w:val="18"/>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8"/>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20"/>
          <w:rFonts w:hint="eastAsia" w:ascii="Times New Roman" w:hAnsi="Times New Roman" w:eastAsia="宋体" w:cs="宋体"/>
          <w:b w:val="0"/>
          <w:bCs w:val="0"/>
          <w:kern w:val="0"/>
          <w:sz w:val="24"/>
          <w:szCs w:val="24"/>
          <w:highlight w:val="none"/>
          <w:lang w:val="en-US" w:eastAsia="zh-CN" w:bidi="ar-SA"/>
        </w:rPr>
      </w:pPr>
      <w:r>
        <w:rPr>
          <w:rStyle w:val="20"/>
          <w:rFonts w:hint="eastAsia" w:cs="宋体"/>
          <w:kern w:val="0"/>
          <w:sz w:val="24"/>
          <w:szCs w:val="24"/>
          <w:highlight w:val="none"/>
          <w:lang w:val="en-US" w:eastAsia="zh-CN" w:bidi="ar-SA"/>
        </w:rPr>
        <w:t>四、</w:t>
      </w:r>
      <w:r>
        <w:rPr>
          <w:rStyle w:val="20"/>
          <w:rFonts w:hint="eastAsia" w:ascii="Times New Roman" w:hAnsi="Times New Roman" w:eastAsia="宋体" w:cs="宋体"/>
          <w:kern w:val="0"/>
          <w:sz w:val="24"/>
          <w:szCs w:val="24"/>
          <w:highlight w:val="none"/>
          <w:lang w:val="en-US" w:eastAsia="zh-CN" w:bidi="ar-SA"/>
        </w:rPr>
        <w:t>议价时间：</w:t>
      </w:r>
    </w:p>
    <w:p>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20"/>
          <w:rFonts w:hint="eastAsia" w:cs="宋体"/>
          <w:b w:val="0"/>
          <w:bCs w:val="0"/>
          <w:kern w:val="0"/>
          <w:sz w:val="24"/>
          <w:szCs w:val="24"/>
          <w:highlight w:val="none"/>
          <w:lang w:val="en-US" w:eastAsia="zh-CN" w:bidi="ar-SA"/>
        </w:rPr>
        <w:t xml:space="preserve">4.1  </w:t>
      </w:r>
      <w:r>
        <w:rPr>
          <w:rStyle w:val="20"/>
          <w:rFonts w:hint="eastAsia" w:cs="宋体"/>
          <w:b w:val="0"/>
          <w:bCs w:val="0"/>
          <w:color w:val="auto"/>
          <w:kern w:val="0"/>
          <w:sz w:val="24"/>
          <w:szCs w:val="24"/>
          <w:highlight w:val="none"/>
          <w:lang w:val="en-US" w:eastAsia="zh-CN" w:bidi="ar-SA"/>
        </w:rPr>
        <w:t>2025年06月17日13时30分</w:t>
      </w:r>
    </w:p>
    <w:p>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20"/>
          <w:rFonts w:hint="eastAsia" w:ascii="Times New Roman" w:hAnsi="Times New Roman" w:eastAsia="宋体" w:cs="宋体"/>
          <w:kern w:val="0"/>
          <w:sz w:val="24"/>
          <w:szCs w:val="24"/>
          <w:highlight w:val="none"/>
          <w:lang w:val="en-US" w:eastAsia="zh-CN" w:bidi="ar-SA"/>
        </w:rPr>
      </w:pPr>
      <w:r>
        <w:rPr>
          <w:rStyle w:val="20"/>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8"/>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8"/>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8"/>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8"/>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8"/>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8"/>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8"/>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8"/>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rFonts w:hint="eastAsia" w:cs="Times New Roman"/>
          <w:b/>
          <w:bCs/>
          <w:sz w:val="28"/>
          <w:szCs w:val="28"/>
          <w:highlight w:val="none"/>
          <w:lang w:val="en-US" w:eastAsia="zh-CN"/>
        </w:rPr>
      </w:pPr>
      <w:bookmarkStart w:id="5" w:name="_Toc7164"/>
      <w:bookmarkStart w:id="6" w:name="_Toc28369"/>
      <w:bookmarkStart w:id="7" w:name="_Toc5854"/>
      <w:bookmarkStart w:id="8" w:name="_Toc14606"/>
      <w:bookmarkStart w:id="9" w:name="_Toc10880"/>
      <w:r>
        <w:rPr>
          <w:rFonts w:hint="eastAsia" w:cs="Times New Roman"/>
          <w:b/>
          <w:bCs/>
          <w:sz w:val="28"/>
          <w:szCs w:val="28"/>
          <w:highlight w:val="none"/>
          <w:lang w:val="en-US" w:eastAsia="zh-CN"/>
        </w:rPr>
        <w:t>序号1.干养式单层猴笼</w:t>
      </w:r>
    </w:p>
    <w:tbl>
      <w:tblPr>
        <w:tblStyle w:val="24"/>
        <w:tblW w:w="10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8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961"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259" w:type="dxa"/>
            <w:vAlign w:val="center"/>
          </w:tcPr>
          <w:p>
            <w:pPr>
              <w:jc w:val="center"/>
              <w:rPr>
                <w:rFonts w:hint="default"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干养式单层猴笼/</w:t>
            </w:r>
            <w:r>
              <w:rPr>
                <w:rFonts w:hint="eastAsia" w:ascii="Times New Roman" w:hAnsi="Times New Roman" w:eastAsia="宋体" w:cs="Times New Roman"/>
                <w:vertAlign w:val="baseline"/>
                <w:lang w:val="en-US" w:eastAsia="zh-CN"/>
              </w:rPr>
              <w:t>3台+5台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961"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259"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0.63</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9" w:hRule="atLeast"/>
          <w:jc w:val="center"/>
        </w:trPr>
        <w:tc>
          <w:tcPr>
            <w:tcW w:w="102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一、产品功能描述：猴饲养</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二、产品用途描述：猴饲养</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1、</w:t>
            </w:r>
            <w:r>
              <w:rPr>
                <w:rFonts w:hint="eastAsia" w:ascii="Times New Roman" w:hAnsi="Times New Roman" w:eastAsia="宋体" w:cs="Times New Roman"/>
                <w:kern w:val="2"/>
                <w:sz w:val="21"/>
                <w:szCs w:val="21"/>
                <w:lang w:val="en-US" w:eastAsia="zh-CN" w:bidi="ar-SA"/>
              </w:rPr>
              <w:t>外形尺寸：≤</w:t>
            </w:r>
            <w:r>
              <w:rPr>
                <w:rFonts w:hint="default" w:ascii="Times New Roman" w:hAnsi="Times New Roman" w:eastAsia="宋体" w:cs="Times New Roman"/>
                <w:kern w:val="2"/>
                <w:sz w:val="21"/>
                <w:szCs w:val="21"/>
                <w:lang w:val="en-US" w:eastAsia="zh-CN" w:bidi="ar-SA"/>
              </w:rPr>
              <w:t>900*900*1500mm</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笼具整体材质：</w:t>
            </w:r>
            <w:r>
              <w:rPr>
                <w:rFonts w:hint="default" w:ascii="Times New Roman" w:hAnsi="Times New Roman" w:eastAsia="宋体" w:cs="Times New Roman"/>
                <w:kern w:val="2"/>
                <w:sz w:val="21"/>
                <w:szCs w:val="21"/>
                <w:lang w:val="en-US" w:eastAsia="zh-CN" w:bidi="ar-SA"/>
              </w:rPr>
              <w:t>不锈钢</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3、单层</w:t>
            </w:r>
          </w:p>
          <w:p>
            <w:pPr>
              <w:bidi w:val="0"/>
              <w:rPr>
                <w:rFonts w:hint="default"/>
                <w:lang w:val="en-US" w:eastAsia="zh-CN"/>
              </w:rPr>
            </w:pPr>
            <w:r>
              <w:rPr>
                <w:rFonts w:hint="default" w:ascii="Times New Roman" w:hAnsi="Times New Roman" w:eastAsia="宋体" w:cs="Times New Roman"/>
                <w:kern w:val="2"/>
                <w:sz w:val="21"/>
                <w:szCs w:val="21"/>
                <w:lang w:val="en-US" w:eastAsia="zh-CN" w:bidi="ar-SA"/>
              </w:rPr>
              <w:t>4、代谢收集式粪盒</w:t>
            </w:r>
            <w:r>
              <w:rPr>
                <w:rFonts w:hint="eastAsia" w:ascii="Times New Roman" w:hAnsi="Times New Roman" w:eastAsia="宋体" w:cs="Times New Roman"/>
                <w:kern w:val="2"/>
                <w:sz w:val="21"/>
                <w:szCs w:val="21"/>
                <w:lang w:val="en-US" w:eastAsia="zh-CN" w:bidi="ar-SA"/>
              </w:rPr>
              <w:t>，方便清理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8" w:hRule="atLeast"/>
          <w:jc w:val="center"/>
        </w:trPr>
        <w:tc>
          <w:tcPr>
            <w:tcW w:w="102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8"/>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8"/>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spacing w:line="240" w:lineRule="auto"/>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序号2.移液器</w:t>
      </w:r>
    </w:p>
    <w:tbl>
      <w:tblPr>
        <w:tblStyle w:val="24"/>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移液器/</w:t>
            </w:r>
            <w:r>
              <w:rPr>
                <w:rFonts w:hint="eastAsia" w:ascii="宋体" w:hAnsi="宋体" w:cs="宋体"/>
                <w:vertAlign w:val="baseline"/>
                <w:lang w:val="en-US" w:eastAsia="zh-CN"/>
              </w:rPr>
              <w:t>9</w:t>
            </w:r>
            <w:r>
              <w:rPr>
                <w:rFonts w:hint="eastAsia" w:ascii="宋体" w:hAnsi="宋体" w:eastAsia="宋体" w:cs="宋体"/>
                <w:vertAlign w:val="baseline"/>
                <w:lang w:val="en-US"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一、产品功能描述：用于精确移取微量液体，适用于分子生物学、细胞培养、</w:t>
            </w:r>
            <w:bookmarkStart w:id="14" w:name="_GoBack"/>
            <w:bookmarkEnd w:id="14"/>
            <w:r>
              <w:rPr>
                <w:rFonts w:hint="eastAsia"/>
                <w:lang w:val="en-US" w:eastAsia="zh-CN"/>
              </w:rPr>
              <w:t>临床检测等实验操作</w:t>
            </w:r>
          </w:p>
          <w:p>
            <w:pPr>
              <w:spacing w:line="240" w:lineRule="auto"/>
              <w:rPr>
                <w:rFonts w:hint="eastAsia"/>
                <w:lang w:val="en-US" w:eastAsia="zh-CN"/>
              </w:rPr>
            </w:pPr>
            <w:r>
              <w:rPr>
                <w:rFonts w:hint="eastAsia"/>
                <w:lang w:val="en-US" w:eastAsia="zh-CN"/>
              </w:rPr>
              <w:t>二、产品用途描述：</w:t>
            </w:r>
            <w:r>
              <w:rPr>
                <w:rFonts w:hint="eastAsia"/>
              </w:rPr>
              <w:t>用于实验室中精确分配和转移液体样品</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 xml:space="preserve">1. </w:t>
            </w:r>
            <w:r>
              <w:rPr>
                <w:rFonts w:hint="eastAsia" w:asciiTheme="minorHAnsi" w:hAnsiTheme="minorHAnsi" w:eastAsiaTheme="minorEastAsia" w:cstheme="minorBidi"/>
                <w:kern w:val="2"/>
                <w:sz w:val="21"/>
                <w:szCs w:val="24"/>
                <w:lang w:val="en-US" w:eastAsia="zh-CN" w:bidi="ar-SA"/>
              </w:rPr>
              <w:t>4把移液器具体要求</w:t>
            </w:r>
            <w:r>
              <w:rPr>
                <w:rFonts w:hint="default" w:asciiTheme="minorHAnsi" w:hAnsiTheme="minorHAnsi" w:eastAsiaTheme="minorEastAsia" w:cstheme="minorBidi"/>
                <w:kern w:val="2"/>
                <w:sz w:val="21"/>
                <w:szCs w:val="24"/>
                <w:lang w:val="en-US" w:eastAsia="zh-CN" w:bidi="ar-SA"/>
              </w:rPr>
              <w:t>：1-10uL量程数量1把；10-100uL量程数量1把；100-1000uL量程数量</w:t>
            </w:r>
            <w:r>
              <w:rPr>
                <w:rFonts w:hint="eastAsia" w:asciiTheme="minorHAnsi" w:hAnsiTheme="minorHAnsi" w:eastAsiaTheme="minorEastAsia" w:cstheme="minorBidi"/>
                <w:kern w:val="2"/>
                <w:sz w:val="21"/>
                <w:szCs w:val="24"/>
                <w:lang w:val="en-US" w:eastAsia="zh-CN" w:bidi="ar-SA"/>
              </w:rPr>
              <w:t>6</w:t>
            </w:r>
            <w:r>
              <w:rPr>
                <w:rFonts w:hint="default" w:asciiTheme="minorHAnsi" w:hAnsiTheme="minorHAnsi" w:eastAsiaTheme="minorEastAsia" w:cstheme="minorBidi"/>
                <w:kern w:val="2"/>
                <w:sz w:val="21"/>
                <w:szCs w:val="24"/>
                <w:lang w:val="en-US" w:eastAsia="zh-CN" w:bidi="ar-SA"/>
              </w:rPr>
              <w:t>把</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500-5000uL量程数量1把。</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 精度与误差：精度：≤ ± 1%；重复性误差：≤ ± 0.5%</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 材质：高强度、耐腐蚀塑料；不锈钢或陶瓷（耐磨损、耐腐蚀）</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 校准与维护：支持用户校准，配备校准工具，可高温高压灭菌或拆卸后部分灭菌</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 显示与调节：数字显示，清晰易读；旋钮式或按钮式，操作简单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4"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序号3.神经肌肉刺激器</w:t>
      </w:r>
    </w:p>
    <w:tbl>
      <w:tblPr>
        <w:tblStyle w:val="24"/>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i w:val="0"/>
                <w:color w:val="000000"/>
                <w:sz w:val="21"/>
                <w:szCs w:val="21"/>
                <w:u w:val="none"/>
                <w:lang w:eastAsia="zh-CN"/>
              </w:rPr>
              <w:t>神经肌肉刺激器</w:t>
            </w:r>
            <w:r>
              <w:rPr>
                <w:rFonts w:hint="eastAsia" w:ascii="宋体" w:hAnsi="宋体"/>
                <w:i w:val="0"/>
                <w:color w:val="000000"/>
                <w:sz w:val="21"/>
                <w:szCs w:val="21"/>
                <w:u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spacing w:line="240" w:lineRule="auto"/>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一、产品功能描述：</w:t>
            </w:r>
            <w:r>
              <w:rPr>
                <w:rFonts w:hint="eastAsia" w:ascii="宋体" w:hAnsi="宋体"/>
                <w:szCs w:val="18"/>
                <w:highlight w:val="none"/>
              </w:rPr>
              <w:t>使用神经肌肉电刺激进行被动式的训练，以维持和提高患者的肌力和耐力。这也是急性期患者肺康复项目的必要组成之一。</w:t>
            </w:r>
          </w:p>
          <w:p>
            <w:pPr>
              <w:spacing w:line="240" w:lineRule="auto"/>
              <w:rPr>
                <w:rFonts w:hint="eastAsia" w:ascii="宋体" w:hAnsi="宋体"/>
                <w:szCs w:val="21"/>
              </w:rPr>
            </w:pPr>
            <w:r>
              <w:rPr>
                <w:rFonts w:hint="eastAsia" w:ascii="宋体" w:hAnsi="宋体" w:eastAsia="宋体" w:cs="宋体"/>
                <w:highlight w:val="none"/>
                <w:vertAlign w:val="baseline"/>
                <w:lang w:val="en-US" w:eastAsia="zh-CN"/>
              </w:rPr>
              <w:t>二、产品用途描述：</w:t>
            </w:r>
            <w:r>
              <w:rPr>
                <w:rFonts w:hint="eastAsia" w:ascii="宋体" w:hAnsi="宋体"/>
                <w:szCs w:val="21"/>
              </w:rPr>
              <w:t>维持和改善四肢骨骼肌的功能</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pStyle w:val="28"/>
              <w:numPr>
                <w:ilvl w:val="0"/>
                <w:numId w:val="3"/>
              </w:numPr>
              <w:spacing w:line="240" w:lineRule="auto"/>
              <w:ind w:firstLineChars="0"/>
              <w:rPr>
                <w:rFonts w:hint="eastAsia" w:ascii="宋体" w:hAnsi="宋体"/>
                <w:sz w:val="21"/>
                <w:szCs w:val="21"/>
                <w:lang w:eastAsia="zh-CN"/>
              </w:rPr>
            </w:pPr>
            <w:r>
              <w:rPr>
                <w:rFonts w:hint="eastAsia" w:ascii="宋体" w:hAnsi="宋体"/>
                <w:sz w:val="21"/>
                <w:szCs w:val="21"/>
                <w:lang w:eastAsia="zh-CN"/>
              </w:rPr>
              <w:t>通道数量：不少于4</w:t>
            </w:r>
            <w:r>
              <w:rPr>
                <w:rFonts w:hint="eastAsia" w:ascii="宋体" w:hAnsi="宋体"/>
                <w:sz w:val="21"/>
                <w:szCs w:val="21"/>
                <w:lang w:val="en-US" w:eastAsia="zh-CN"/>
              </w:rPr>
              <w:t>个</w:t>
            </w:r>
            <w:r>
              <w:rPr>
                <w:rFonts w:hint="eastAsia" w:ascii="宋体" w:hAnsi="宋体"/>
                <w:sz w:val="21"/>
                <w:szCs w:val="21"/>
                <w:lang w:eastAsia="zh-CN"/>
              </w:rPr>
              <w:t>独立、可分别调节的通道；</w:t>
            </w:r>
          </w:p>
          <w:p>
            <w:pPr>
              <w:pStyle w:val="28"/>
              <w:numPr>
                <w:ilvl w:val="0"/>
                <w:numId w:val="3"/>
              </w:numPr>
              <w:spacing w:line="240" w:lineRule="auto"/>
              <w:ind w:firstLineChars="0"/>
              <w:rPr>
                <w:rFonts w:hint="eastAsia" w:ascii="宋体" w:hAnsi="宋体"/>
                <w:sz w:val="21"/>
                <w:szCs w:val="21"/>
                <w:lang w:eastAsia="zh-CN"/>
              </w:rPr>
            </w:pPr>
            <w:r>
              <w:rPr>
                <w:rFonts w:hint="eastAsia" w:ascii="宋体" w:hAnsi="宋体"/>
                <w:sz w:val="21"/>
                <w:szCs w:val="21"/>
                <w:lang w:eastAsia="zh-CN"/>
              </w:rPr>
              <w:t>具备</w:t>
            </w:r>
            <w:r>
              <w:rPr>
                <w:rFonts w:hint="eastAsia" w:ascii="宋体" w:hAnsi="宋体"/>
                <w:sz w:val="21"/>
                <w:szCs w:val="21"/>
                <w:lang w:val="en-US" w:eastAsia="zh-CN"/>
              </w:rPr>
              <w:t>不少于12种</w:t>
            </w:r>
            <w:r>
              <w:rPr>
                <w:rFonts w:hint="eastAsia" w:ascii="宋体" w:hAnsi="宋体"/>
                <w:sz w:val="21"/>
                <w:szCs w:val="21"/>
                <w:lang w:eastAsia="zh-CN"/>
              </w:rPr>
              <w:t>治疗</w:t>
            </w:r>
            <w:r>
              <w:rPr>
                <w:rFonts w:hint="eastAsia" w:ascii="宋体" w:hAnsi="宋体"/>
                <w:sz w:val="21"/>
                <w:szCs w:val="21"/>
                <w:lang w:val="en-US" w:eastAsia="zh-CN"/>
              </w:rPr>
              <w:t>处方</w:t>
            </w:r>
            <w:r>
              <w:rPr>
                <w:rFonts w:hint="eastAsia" w:ascii="宋体" w:hAnsi="宋体"/>
                <w:sz w:val="21"/>
                <w:szCs w:val="21"/>
                <w:lang w:eastAsia="zh-CN"/>
              </w:rPr>
              <w:t>，支持自定义</w:t>
            </w:r>
          </w:p>
          <w:p>
            <w:pPr>
              <w:pStyle w:val="28"/>
              <w:numPr>
                <w:ilvl w:val="0"/>
                <w:numId w:val="3"/>
              </w:numPr>
              <w:spacing w:line="240" w:lineRule="auto"/>
              <w:ind w:firstLineChars="0"/>
              <w:rPr>
                <w:rFonts w:hint="eastAsia" w:ascii="宋体" w:hAnsi="宋体"/>
                <w:sz w:val="21"/>
                <w:szCs w:val="21"/>
                <w:lang w:eastAsia="zh-CN"/>
              </w:rPr>
            </w:pPr>
            <w:r>
              <w:rPr>
                <w:rFonts w:hint="eastAsia" w:ascii="宋体" w:hAnsi="宋体"/>
                <w:sz w:val="21"/>
                <w:szCs w:val="21"/>
                <w:lang w:val="en-US" w:eastAsia="zh-CN"/>
              </w:rPr>
              <w:t>治疗处方不少于2种程序序列，如预热、治疗、放松等</w:t>
            </w:r>
            <w:r>
              <w:rPr>
                <w:rFonts w:hint="eastAsia" w:ascii="宋体" w:hAnsi="宋体"/>
                <w:sz w:val="21"/>
                <w:szCs w:val="21"/>
                <w:lang w:eastAsia="zh-CN"/>
              </w:rPr>
              <w:t>；</w:t>
            </w:r>
          </w:p>
          <w:p>
            <w:pPr>
              <w:pStyle w:val="28"/>
              <w:numPr>
                <w:ilvl w:val="0"/>
                <w:numId w:val="3"/>
              </w:numPr>
              <w:spacing w:line="240" w:lineRule="auto"/>
              <w:ind w:firstLineChars="0"/>
              <w:rPr>
                <w:rFonts w:hint="eastAsia" w:ascii="宋体" w:hAnsi="宋体"/>
                <w:sz w:val="21"/>
                <w:szCs w:val="21"/>
                <w:lang w:eastAsia="zh-CN"/>
              </w:rPr>
            </w:pPr>
            <w:r>
              <w:rPr>
                <w:rFonts w:hint="eastAsia" w:ascii="宋体" w:hAnsi="宋体"/>
                <w:sz w:val="21"/>
                <w:szCs w:val="21"/>
                <w:lang w:val="en-US" w:eastAsia="zh-CN"/>
              </w:rPr>
              <w:t>具有</w:t>
            </w:r>
            <w:r>
              <w:rPr>
                <w:rFonts w:hint="eastAsia" w:ascii="宋体" w:hAnsi="宋体"/>
                <w:sz w:val="21"/>
                <w:szCs w:val="21"/>
                <w:lang w:eastAsia="zh-CN"/>
              </w:rPr>
              <w:t>频率</w:t>
            </w:r>
            <w:r>
              <w:rPr>
                <w:rFonts w:hint="eastAsia" w:ascii="宋体" w:hAnsi="宋体"/>
                <w:sz w:val="21"/>
                <w:szCs w:val="21"/>
                <w:lang w:val="en-US" w:eastAsia="zh-CN"/>
              </w:rPr>
              <w:t>1Hz、</w:t>
            </w:r>
            <w:r>
              <w:rPr>
                <w:rFonts w:hint="eastAsia" w:ascii="宋体" w:hAnsi="宋体"/>
                <w:sz w:val="21"/>
                <w:szCs w:val="21"/>
                <w:lang w:eastAsia="zh-CN"/>
              </w:rPr>
              <w:t>1</w:t>
            </w:r>
            <w:r>
              <w:rPr>
                <w:rFonts w:ascii="宋体" w:hAnsi="宋体"/>
                <w:sz w:val="21"/>
                <w:szCs w:val="21"/>
                <w:lang w:eastAsia="zh-CN"/>
              </w:rPr>
              <w:t>00</w:t>
            </w:r>
            <w:r>
              <w:rPr>
                <w:rFonts w:hint="eastAsia" w:ascii="宋体" w:hAnsi="宋体"/>
                <w:sz w:val="21"/>
                <w:szCs w:val="21"/>
                <w:lang w:eastAsia="zh-CN"/>
              </w:rPr>
              <w:t>Hz的</w:t>
            </w:r>
            <w:r>
              <w:rPr>
                <w:rFonts w:hint="eastAsia" w:ascii="宋体" w:hAnsi="宋体"/>
                <w:sz w:val="21"/>
                <w:szCs w:val="21"/>
                <w:lang w:val="en-US" w:eastAsia="zh-CN"/>
              </w:rPr>
              <w:t>治疗处方</w:t>
            </w:r>
            <w:r>
              <w:rPr>
                <w:rFonts w:hint="eastAsia" w:ascii="宋体" w:hAnsi="宋体"/>
                <w:sz w:val="21"/>
                <w:szCs w:val="21"/>
                <w:lang w:eastAsia="zh-CN"/>
              </w:rPr>
              <w:t>，用于临床止疼</w:t>
            </w:r>
            <w:r>
              <w:rPr>
                <w:rFonts w:hint="eastAsia" w:ascii="宋体" w:hAnsi="宋体"/>
                <w:sz w:val="21"/>
                <w:szCs w:val="21"/>
                <w:lang w:val="en-US" w:eastAsia="zh-CN"/>
              </w:rPr>
              <w:t>及</w:t>
            </w:r>
            <w:r>
              <w:rPr>
                <w:rFonts w:hint="eastAsia" w:ascii="宋体" w:hAnsi="宋体"/>
                <w:sz w:val="21"/>
                <w:szCs w:val="21"/>
                <w:lang w:eastAsia="zh-CN"/>
              </w:rPr>
              <w:t>神经活性诊断；</w:t>
            </w:r>
          </w:p>
          <w:p>
            <w:pPr>
              <w:pStyle w:val="28"/>
              <w:numPr>
                <w:ilvl w:val="0"/>
                <w:numId w:val="3"/>
              </w:numPr>
              <w:spacing w:line="240" w:lineRule="auto"/>
              <w:ind w:firstLineChars="0"/>
              <w:rPr>
                <w:rFonts w:hint="eastAsia" w:ascii="宋体" w:hAnsi="宋体"/>
                <w:sz w:val="21"/>
                <w:szCs w:val="21"/>
                <w:lang w:eastAsia="zh-CN"/>
              </w:rPr>
            </w:pPr>
            <w:r>
              <w:rPr>
                <w:rFonts w:hint="eastAsia" w:ascii="宋体" w:hAnsi="宋体"/>
                <w:sz w:val="21"/>
                <w:szCs w:val="21"/>
                <w:lang w:eastAsia="zh-CN"/>
              </w:rPr>
              <w:t>需具备调</w:t>
            </w:r>
            <w:r>
              <w:rPr>
                <w:rFonts w:hint="eastAsia" w:ascii="宋体" w:hAnsi="宋体"/>
                <w:sz w:val="21"/>
                <w:szCs w:val="21"/>
                <w:lang w:val="en-US" w:eastAsia="zh-CN"/>
              </w:rPr>
              <w:t>频率</w:t>
            </w:r>
            <w:r>
              <w:rPr>
                <w:rFonts w:hint="eastAsia" w:ascii="宋体" w:hAnsi="宋体"/>
                <w:sz w:val="21"/>
                <w:szCs w:val="21"/>
                <w:lang w:eastAsia="zh-CN"/>
              </w:rPr>
              <w:t>、脉宽治疗程序，防止肌肉产生治疗疲劳；</w:t>
            </w:r>
          </w:p>
          <w:p>
            <w:pPr>
              <w:pStyle w:val="28"/>
              <w:numPr>
                <w:ilvl w:val="0"/>
                <w:numId w:val="3"/>
              </w:numPr>
              <w:spacing w:line="240" w:lineRule="auto"/>
              <w:ind w:firstLineChars="0"/>
              <w:rPr>
                <w:rFonts w:hint="eastAsia" w:ascii="宋体" w:hAnsi="宋体"/>
                <w:sz w:val="21"/>
                <w:szCs w:val="21"/>
                <w:lang w:eastAsia="zh-CN"/>
              </w:rPr>
            </w:pPr>
            <w:r>
              <w:rPr>
                <w:rFonts w:hint="eastAsia" w:ascii="宋体" w:hAnsi="宋体"/>
                <w:sz w:val="21"/>
                <w:szCs w:val="21"/>
                <w:lang w:val="en-US" w:eastAsia="zh-CN"/>
              </w:rPr>
              <w:t>具有彩色</w:t>
            </w:r>
            <w:r>
              <w:rPr>
                <w:rFonts w:hint="eastAsia" w:ascii="宋体" w:hAnsi="宋体"/>
                <w:sz w:val="21"/>
                <w:szCs w:val="21"/>
                <w:lang w:eastAsia="zh-CN"/>
              </w:rPr>
              <w:t>液晶屏、</w:t>
            </w:r>
            <w:r>
              <w:rPr>
                <w:rFonts w:hint="eastAsia" w:ascii="宋体" w:hAnsi="宋体"/>
                <w:sz w:val="21"/>
                <w:szCs w:val="21"/>
                <w:lang w:val="en-US" w:eastAsia="zh-CN"/>
              </w:rPr>
              <w:t>可充电电池；</w:t>
            </w:r>
          </w:p>
          <w:p>
            <w:pPr>
              <w:pStyle w:val="28"/>
              <w:numPr>
                <w:ilvl w:val="0"/>
                <w:numId w:val="3"/>
              </w:numPr>
              <w:spacing w:line="240" w:lineRule="auto"/>
              <w:ind w:firstLineChars="0"/>
              <w:rPr>
                <w:rFonts w:hint="eastAsia" w:ascii="宋体" w:hAnsi="宋体"/>
                <w:sz w:val="21"/>
                <w:szCs w:val="21"/>
                <w:lang w:eastAsia="zh-CN"/>
              </w:rPr>
            </w:pPr>
            <w:r>
              <w:rPr>
                <w:rFonts w:hint="eastAsia" w:ascii="宋体" w:hAnsi="宋体"/>
                <w:sz w:val="21"/>
                <w:szCs w:val="21"/>
                <w:lang w:eastAsia="zh-CN"/>
              </w:rPr>
              <w:t>具备电极片贴片位置及患者治疗体位示意图，治疗处方具备功能描述等介绍；</w:t>
            </w:r>
          </w:p>
          <w:p>
            <w:pPr>
              <w:pStyle w:val="28"/>
              <w:numPr>
                <w:ilvl w:val="0"/>
                <w:numId w:val="3"/>
              </w:numPr>
              <w:spacing w:line="240" w:lineRule="auto"/>
              <w:ind w:firstLineChars="0"/>
              <w:rPr>
                <w:rFonts w:hint="eastAsia" w:ascii="宋体" w:hAnsi="宋体"/>
                <w:sz w:val="21"/>
                <w:szCs w:val="21"/>
                <w:lang w:eastAsia="zh-CN"/>
              </w:rPr>
            </w:pPr>
            <w:r>
              <w:rPr>
                <w:rFonts w:hint="eastAsia" w:ascii="宋体" w:hAnsi="宋体"/>
                <w:sz w:val="21"/>
                <w:szCs w:val="21"/>
                <w:lang w:val="en-US" w:eastAsia="zh-CN"/>
              </w:rPr>
              <w:t>可</w:t>
            </w:r>
            <w:r>
              <w:rPr>
                <w:rFonts w:hint="eastAsia" w:ascii="宋体" w:hAnsi="宋体"/>
                <w:sz w:val="21"/>
                <w:szCs w:val="21"/>
                <w:lang w:eastAsia="zh-CN"/>
              </w:rPr>
              <w:t>智能</w:t>
            </w:r>
            <w:r>
              <w:rPr>
                <w:rFonts w:hint="eastAsia" w:ascii="宋体" w:hAnsi="宋体"/>
                <w:sz w:val="21"/>
                <w:szCs w:val="21"/>
                <w:lang w:val="en-US" w:eastAsia="zh-CN"/>
              </w:rPr>
              <w:t>测量肌肉状态</w:t>
            </w:r>
            <w:r>
              <w:rPr>
                <w:rFonts w:hint="eastAsia" w:ascii="宋体" w:hAnsi="宋体"/>
                <w:sz w:val="21"/>
                <w:szCs w:val="21"/>
                <w:lang w:eastAsia="zh-CN"/>
              </w:rPr>
              <w:t>，</w:t>
            </w:r>
            <w:r>
              <w:rPr>
                <w:rFonts w:hint="eastAsia" w:ascii="宋体" w:hAnsi="宋体"/>
                <w:sz w:val="21"/>
                <w:szCs w:val="21"/>
                <w:lang w:val="en-US" w:eastAsia="zh-CN"/>
              </w:rPr>
              <w:t>从而进行针对性治疗。</w:t>
            </w:r>
          </w:p>
          <w:p>
            <w:pPr>
              <w:pStyle w:val="28"/>
              <w:numPr>
                <w:ilvl w:val="0"/>
                <w:numId w:val="3"/>
              </w:numPr>
              <w:spacing w:line="240" w:lineRule="auto"/>
              <w:ind w:firstLineChars="0"/>
              <w:rPr>
                <w:rFonts w:hint="eastAsia" w:ascii="宋体" w:hAnsi="宋体"/>
                <w:sz w:val="21"/>
                <w:szCs w:val="21"/>
                <w:lang w:eastAsia="zh-CN"/>
              </w:rPr>
            </w:pPr>
            <w:r>
              <w:rPr>
                <w:rFonts w:hint="eastAsia" w:ascii="宋体" w:hAnsi="宋体"/>
                <w:sz w:val="21"/>
                <w:szCs w:val="21"/>
                <w:lang w:eastAsia="zh-CN"/>
              </w:rPr>
              <w:t>可记录治疗数据并导出治疗报告；</w:t>
            </w:r>
          </w:p>
          <w:p>
            <w:pPr>
              <w:pStyle w:val="28"/>
              <w:numPr>
                <w:ilvl w:val="0"/>
                <w:numId w:val="3"/>
              </w:numPr>
              <w:spacing w:line="240" w:lineRule="auto"/>
              <w:ind w:firstLineChars="0"/>
              <w:rPr>
                <w:rFonts w:hint="eastAsia" w:ascii="宋体" w:hAnsi="宋体"/>
                <w:sz w:val="21"/>
                <w:szCs w:val="21"/>
                <w:lang w:eastAsia="zh-CN"/>
              </w:rPr>
            </w:pPr>
            <w:r>
              <w:rPr>
                <w:rFonts w:hint="eastAsia" w:ascii="宋体" w:hAnsi="宋体"/>
                <w:sz w:val="21"/>
                <w:szCs w:val="21"/>
                <w:lang w:eastAsia="zh-CN"/>
              </w:rPr>
              <w:t>脉冲频率：频率</w:t>
            </w:r>
            <w:r>
              <w:rPr>
                <w:rFonts w:ascii="宋体" w:hAnsi="宋体"/>
                <w:sz w:val="21"/>
                <w:szCs w:val="21"/>
                <w:lang w:eastAsia="zh-CN"/>
              </w:rPr>
              <w:t>1~150Hz</w:t>
            </w:r>
            <w:r>
              <w:rPr>
                <w:rFonts w:hint="eastAsia" w:ascii="宋体" w:hAnsi="宋体"/>
                <w:sz w:val="21"/>
                <w:szCs w:val="21"/>
                <w:lang w:eastAsia="zh-CN"/>
              </w:rPr>
              <w:t>范围内可调；</w:t>
            </w:r>
          </w:p>
          <w:p>
            <w:pPr>
              <w:pStyle w:val="28"/>
              <w:numPr>
                <w:ilvl w:val="0"/>
                <w:numId w:val="3"/>
              </w:numPr>
              <w:spacing w:line="240" w:lineRule="auto"/>
              <w:ind w:firstLineChars="0"/>
              <w:rPr>
                <w:rFonts w:hint="eastAsia" w:ascii="宋体" w:hAnsi="宋体"/>
                <w:sz w:val="21"/>
                <w:szCs w:val="21"/>
                <w:lang w:eastAsia="zh-CN"/>
              </w:rPr>
            </w:pPr>
            <w:r>
              <w:rPr>
                <w:rFonts w:hint="eastAsia" w:ascii="宋体" w:hAnsi="宋体"/>
                <w:sz w:val="21"/>
                <w:szCs w:val="21"/>
                <w:lang w:eastAsia="zh-CN"/>
              </w:rPr>
              <w:t>脉冲波形：对称双相波；</w:t>
            </w:r>
          </w:p>
          <w:p>
            <w:pPr>
              <w:pStyle w:val="28"/>
              <w:numPr>
                <w:ilvl w:val="0"/>
                <w:numId w:val="3"/>
              </w:numPr>
              <w:spacing w:line="240" w:lineRule="auto"/>
              <w:ind w:firstLineChars="0"/>
              <w:rPr>
                <w:rFonts w:hint="eastAsia" w:ascii="宋体" w:hAnsi="宋体"/>
                <w:sz w:val="21"/>
                <w:szCs w:val="21"/>
                <w:lang w:eastAsia="zh-CN"/>
              </w:rPr>
            </w:pPr>
            <w:r>
              <w:rPr>
                <w:rFonts w:hint="eastAsia" w:ascii="宋体" w:hAnsi="宋体"/>
                <w:sz w:val="21"/>
                <w:szCs w:val="21"/>
                <w:lang w:eastAsia="zh-CN"/>
              </w:rPr>
              <w:t>脉宽：脉宽</w:t>
            </w:r>
            <w:r>
              <w:rPr>
                <w:rFonts w:hint="eastAsia" w:ascii="宋体" w:hAnsi="宋体"/>
                <w:sz w:val="21"/>
                <w:szCs w:val="21"/>
                <w:lang w:val="en-US" w:eastAsia="zh-CN"/>
              </w:rPr>
              <w:t>不少于100</w:t>
            </w:r>
            <w:r>
              <w:rPr>
                <w:rFonts w:ascii="宋体" w:hAnsi="宋体"/>
                <w:sz w:val="21"/>
                <w:szCs w:val="21"/>
                <w:lang w:eastAsia="zh-CN"/>
              </w:rPr>
              <w:t>~400</w:t>
            </w:r>
            <w:r>
              <w:rPr>
                <w:rFonts w:ascii="宋体" w:hAnsi="宋体"/>
                <w:sz w:val="21"/>
                <w:szCs w:val="21"/>
              </w:rPr>
              <w:t>μ</w:t>
            </w:r>
            <w:r>
              <w:rPr>
                <w:rFonts w:ascii="宋体" w:hAnsi="宋体"/>
                <w:sz w:val="21"/>
                <w:szCs w:val="21"/>
                <w:lang w:eastAsia="zh-CN"/>
              </w:rPr>
              <w:t>s</w:t>
            </w:r>
            <w:r>
              <w:rPr>
                <w:rFonts w:hint="eastAsia" w:ascii="宋体" w:hAnsi="宋体"/>
                <w:sz w:val="21"/>
                <w:szCs w:val="21"/>
                <w:lang w:eastAsia="zh-CN"/>
              </w:rPr>
              <w:t>范围内可调，</w:t>
            </w:r>
            <w:r>
              <w:rPr>
                <w:rFonts w:hint="eastAsia" w:ascii="宋体" w:hAnsi="宋体"/>
                <w:sz w:val="21"/>
                <w:szCs w:val="21"/>
                <w:lang w:val="en-US" w:eastAsia="zh-CN"/>
              </w:rPr>
              <w:t>恒流输出</w:t>
            </w:r>
            <w:r>
              <w:rPr>
                <w:rFonts w:hint="eastAsia" w:ascii="宋体" w:hAnsi="宋体"/>
                <w:sz w:val="21"/>
                <w:szCs w:val="21"/>
                <w:lang w:eastAsia="zh-CN"/>
              </w:rPr>
              <w:t>；</w:t>
            </w:r>
          </w:p>
          <w:p>
            <w:pPr>
              <w:pStyle w:val="28"/>
              <w:numPr>
                <w:ilvl w:val="0"/>
                <w:numId w:val="3"/>
              </w:numPr>
              <w:spacing w:line="240" w:lineRule="auto"/>
              <w:ind w:firstLineChars="0"/>
              <w:rPr>
                <w:rFonts w:hint="eastAsia" w:ascii="宋体" w:hAnsi="宋体"/>
                <w:sz w:val="21"/>
                <w:szCs w:val="21"/>
                <w:lang w:eastAsia="zh-CN"/>
              </w:rPr>
            </w:pPr>
            <w:r>
              <w:rPr>
                <w:rFonts w:hint="eastAsia" w:ascii="宋体" w:hAnsi="宋体"/>
                <w:sz w:val="21"/>
                <w:szCs w:val="21"/>
                <w:lang w:eastAsia="zh-CN"/>
              </w:rPr>
              <w:t>脉冲强度：</w:t>
            </w:r>
            <w:r>
              <w:rPr>
                <w:rFonts w:hint="eastAsia" w:ascii="宋体" w:hAnsi="宋体"/>
                <w:sz w:val="21"/>
                <w:szCs w:val="21"/>
                <w:lang w:val="en-US" w:eastAsia="zh-CN"/>
              </w:rPr>
              <w:t>不少于1</w:t>
            </w:r>
            <w:r>
              <w:rPr>
                <w:rFonts w:ascii="宋体" w:hAnsi="宋体"/>
                <w:sz w:val="21"/>
                <w:szCs w:val="21"/>
                <w:lang w:eastAsia="zh-CN"/>
              </w:rPr>
              <w:t>～</w:t>
            </w:r>
            <w:r>
              <w:rPr>
                <w:rFonts w:hint="eastAsia" w:ascii="宋体" w:hAnsi="宋体"/>
                <w:sz w:val="21"/>
                <w:szCs w:val="21"/>
                <w:lang w:val="en-US" w:eastAsia="zh-CN"/>
              </w:rPr>
              <w:t>99</w:t>
            </w:r>
            <w:r>
              <w:rPr>
                <w:rFonts w:ascii="宋体" w:hAnsi="宋体"/>
                <w:sz w:val="21"/>
                <w:szCs w:val="21"/>
                <w:lang w:eastAsia="zh-CN"/>
              </w:rPr>
              <w:t>mA</w:t>
            </w:r>
            <w:r>
              <w:rPr>
                <w:rFonts w:hint="eastAsia" w:ascii="宋体" w:hAnsi="宋体"/>
                <w:sz w:val="21"/>
                <w:szCs w:val="21"/>
                <w:lang w:eastAsia="zh-CN"/>
              </w:rPr>
              <w:t>范围可调；</w:t>
            </w:r>
          </w:p>
          <w:p>
            <w:pPr>
              <w:pStyle w:val="28"/>
              <w:numPr>
                <w:ilvl w:val="0"/>
                <w:numId w:val="3"/>
              </w:numPr>
              <w:spacing w:line="240" w:lineRule="auto"/>
              <w:ind w:firstLineChars="0"/>
              <w:rPr>
                <w:rFonts w:hint="eastAsia" w:ascii="宋体" w:hAnsi="宋体"/>
                <w:sz w:val="21"/>
                <w:szCs w:val="21"/>
                <w:lang w:eastAsia="zh-CN"/>
              </w:rPr>
            </w:pPr>
            <w:r>
              <w:rPr>
                <w:rFonts w:hint="eastAsia" w:ascii="宋体" w:hAnsi="宋体"/>
                <w:sz w:val="21"/>
                <w:szCs w:val="21"/>
                <w:lang w:eastAsia="zh-CN"/>
              </w:rPr>
              <w:t>脉冲强度增量：</w:t>
            </w:r>
            <w:r>
              <w:rPr>
                <w:rFonts w:hint="eastAsia" w:ascii="宋体" w:hAnsi="宋体"/>
                <w:sz w:val="21"/>
                <w:szCs w:val="21"/>
                <w:lang w:val="en-US" w:eastAsia="zh-CN"/>
              </w:rPr>
              <w:t>最小增量0.5mA；</w:t>
            </w:r>
          </w:p>
          <w:p>
            <w:pPr>
              <w:pStyle w:val="28"/>
              <w:numPr>
                <w:ilvl w:val="0"/>
                <w:numId w:val="3"/>
              </w:numPr>
              <w:spacing w:line="240" w:lineRule="auto"/>
              <w:ind w:firstLineChars="0"/>
              <w:rPr>
                <w:rFonts w:hint="eastAsia" w:ascii="宋体" w:hAnsi="宋体"/>
                <w:sz w:val="21"/>
                <w:szCs w:val="21"/>
                <w:lang w:eastAsia="zh-CN"/>
              </w:rPr>
            </w:pPr>
            <w:r>
              <w:rPr>
                <w:rFonts w:hint="eastAsia" w:ascii="宋体" w:hAnsi="宋体"/>
                <w:sz w:val="21"/>
                <w:szCs w:val="21"/>
                <w:lang w:eastAsia="zh-CN"/>
              </w:rPr>
              <w:t>治疗时间：治疗时</w:t>
            </w:r>
            <w:r>
              <w:rPr>
                <w:rFonts w:hint="eastAsia" w:ascii="宋体" w:hAnsi="宋体"/>
                <w:sz w:val="21"/>
                <w:szCs w:val="21"/>
                <w:lang w:val="en-US" w:eastAsia="zh-CN"/>
              </w:rPr>
              <w:t>长不少于1-30分钟</w:t>
            </w:r>
            <w:r>
              <w:rPr>
                <w:rFonts w:hint="eastAsia" w:ascii="宋体" w:hAnsi="宋体"/>
                <w:sz w:val="21"/>
                <w:szCs w:val="21"/>
                <w:lang w:eastAsia="zh-CN"/>
              </w:rPr>
              <w:t>可调；</w:t>
            </w:r>
          </w:p>
          <w:p>
            <w:pPr>
              <w:pStyle w:val="28"/>
              <w:numPr>
                <w:ilvl w:val="0"/>
                <w:numId w:val="3"/>
              </w:numPr>
              <w:spacing w:line="240" w:lineRule="auto"/>
              <w:ind w:firstLineChars="0"/>
              <w:rPr>
                <w:rFonts w:hint="default"/>
                <w:lang w:val="en-US" w:eastAsia="zh-CN"/>
              </w:rPr>
            </w:pPr>
            <w:r>
              <w:rPr>
                <w:rFonts w:hint="eastAsia" w:ascii="宋体" w:hAnsi="宋体"/>
                <w:sz w:val="21"/>
                <w:szCs w:val="21"/>
                <w:lang w:eastAsia="zh-CN"/>
              </w:rPr>
              <w:t>重量：设备净重≤</w:t>
            </w:r>
            <w:r>
              <w:rPr>
                <w:rFonts w:hint="eastAsia" w:ascii="宋体" w:hAnsi="宋体"/>
                <w:sz w:val="21"/>
                <w:szCs w:val="21"/>
                <w:lang w:val="en-US" w:eastAsia="zh-CN"/>
              </w:rPr>
              <w:t>5</w:t>
            </w:r>
            <w:r>
              <w:rPr>
                <w:rFonts w:ascii="宋体" w:hAnsi="宋体"/>
                <w:sz w:val="21"/>
                <w:szCs w:val="21"/>
                <w:lang w:eastAsia="zh-CN"/>
              </w:rPr>
              <w:t>K</w:t>
            </w:r>
            <w:r>
              <w:rPr>
                <w:rFonts w:hint="eastAsia" w:ascii="宋体" w:hAnsi="宋体"/>
                <w:sz w:val="21"/>
                <w:szCs w:val="21"/>
                <w:lang w:eastAsia="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序号4.俯卧位面部支撑头枕</w:t>
      </w:r>
    </w:p>
    <w:tbl>
      <w:tblPr>
        <w:tblStyle w:val="24"/>
        <w:tblW w:w="11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2130"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970"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俯卧位面部支撑头枕/1套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2130"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970"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6" w:hRule="atLeast"/>
          <w:jc w:val="center"/>
        </w:trPr>
        <w:tc>
          <w:tcPr>
            <w:tcW w:w="1110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4"/>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产品功能描述：</w:t>
            </w:r>
            <w:r>
              <w:rPr>
                <w:rFonts w:hint="eastAsia" w:ascii="Times New Roman" w:hAnsi="Times New Roman" w:eastAsia="宋体" w:cs="Times New Roman"/>
                <w:sz w:val="21"/>
                <w:szCs w:val="21"/>
                <w:vertAlign w:val="baseline"/>
                <w:lang w:val="en-US" w:eastAsia="zh-CN"/>
              </w:rPr>
              <w:t>用作俯卧位通气时面部支撑，引流肺部分泌物，同时便于检测患者生命体征，调整患者面部姿势等。</w:t>
            </w:r>
          </w:p>
          <w:p>
            <w:pPr>
              <w:numPr>
                <w:ilvl w:val="0"/>
                <w:numId w:val="4"/>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产品用途描述：</w:t>
            </w:r>
            <w:r>
              <w:rPr>
                <w:rFonts w:hint="eastAsia" w:ascii="Times New Roman" w:hAnsi="Times New Roman" w:eastAsia="宋体" w:cs="Times New Roman"/>
                <w:sz w:val="21"/>
                <w:szCs w:val="21"/>
                <w:vertAlign w:val="baseline"/>
                <w:lang w:val="en-US" w:eastAsia="zh-CN"/>
              </w:rPr>
              <w:t>用作俯卧位通气时面部支撑，引流肺部分泌物，同时便于检测患者生命体征，调整患者面部姿势等。</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1、尺寸≥26*34*16.5cm。</w:t>
            </w:r>
          </w:p>
          <w:p>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2、面部支撑具有三维调节功能，至少包含角度调节（顺时针及逆时针均可调节）及长度调节。</w:t>
            </w:r>
          </w:p>
          <w:p>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3、与人体面部接触部分具有二维空间上下调节功能，可根据患者面部大小调节，适用于不同体重的患者的面部。</w:t>
            </w:r>
          </w:p>
          <w:p>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4、面部支撑具有镜面观察装置，便于操作者在观察患者面部便于操作。</w:t>
            </w:r>
          </w:p>
          <w:p>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5、产品可满足擦拭消毒（可用清水擦拭清洁、消毒湿巾或≤75%酒精消毒）以及高温消毒。</w:t>
            </w:r>
          </w:p>
          <w:p>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6、阻燃性：产品本身不支持燃烧，并具有良好的阻燃性；绝缘不导电，能有效防止意外的电损伤。</w:t>
            </w:r>
          </w:p>
          <w:p>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7、产品包裹薄膜和内填充胶体具有良好的组织相容性。</w:t>
            </w:r>
          </w:p>
          <w:p>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8、舒适性：产品材质柔软，顺应体型，具有良好的力的传导和载重能力，能够有效的支撑与固定人体体位。均匀分散病人体重，减少压力。</w:t>
            </w:r>
          </w:p>
          <w:p>
            <w:pPr>
              <w:numPr>
                <w:ilvl w:val="0"/>
                <w:numId w:val="0"/>
              </w:numPr>
              <w:rPr>
                <w:rFonts w:hint="default" w:ascii="宋体" w:hAnsi="宋体" w:eastAsia="宋体" w:cs="宋体"/>
                <w:kern w:val="0"/>
                <w:sz w:val="18"/>
                <w:szCs w:val="18"/>
                <w:lang w:val="en-US" w:eastAsia="zh-CN" w:bidi="ar-SA"/>
              </w:rPr>
            </w:pPr>
            <w:r>
              <w:rPr>
                <w:rFonts w:hint="eastAsia" w:ascii="Times New Roman" w:hAnsi="Times New Roman" w:eastAsia="宋体" w:cs="Times New Roman"/>
                <w:sz w:val="21"/>
                <w:szCs w:val="21"/>
                <w:vertAlign w:val="baseline"/>
                <w:lang w:val="en-US" w:eastAsia="zh-CN"/>
              </w:rPr>
              <w:t>9、无毒性：产品使用环保性材料，不释放任何毒性物质（铅、汞、邻苯等有害物质），避免引发对患者伤害。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7" w:hRule="atLeast"/>
          <w:jc w:val="center"/>
        </w:trPr>
        <w:tc>
          <w:tcPr>
            <w:tcW w:w="1110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cs="Times New Roman"/>
                <w:i w:val="0"/>
                <w:iCs w:val="0"/>
                <w:color w:val="000000"/>
                <w:kern w:val="0"/>
                <w:sz w:val="21"/>
                <w:szCs w:val="21"/>
                <w:highlight w:val="none"/>
                <w:u w:val="none"/>
                <w:lang w:val="en-US" w:eastAsia="zh-CN" w:bidi="ar"/>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8"/>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highlight w:val="none"/>
                <w:lang w:val="en-US" w:eastAsia="zh-CN"/>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8"/>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序号5.膳食调查模型（70件）</w:t>
      </w:r>
    </w:p>
    <w:tbl>
      <w:tblPr>
        <w:tblStyle w:val="24"/>
        <w:tblW w:w="10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210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856"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i w:val="0"/>
                <w:color w:val="auto"/>
                <w:kern w:val="0"/>
                <w:sz w:val="21"/>
                <w:szCs w:val="21"/>
                <w:u w:val="none"/>
                <w:lang w:val="en-US" w:eastAsia="zh-CN" w:bidi="ar"/>
              </w:rPr>
              <w:t>膳食调查模型（70件）/2套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210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856"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2.66万元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9" w:hRule="atLeast"/>
          <w:jc w:val="center"/>
        </w:trPr>
        <w:tc>
          <w:tcPr>
            <w:tcW w:w="10960" w:type="dxa"/>
            <w:gridSpan w:val="2"/>
          </w:tcPr>
          <w:p>
            <w:pPr>
              <w:spacing w:line="240" w:lineRule="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技术参数要求：</w:t>
            </w:r>
          </w:p>
          <w:p>
            <w:pPr>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一、产品功能描述：</w:t>
            </w:r>
            <w:r>
              <w:rPr>
                <w:rFonts w:hint="eastAsia" w:ascii="宋体" w:hAnsi="宋体" w:eastAsia="宋体" w:cs="宋体"/>
                <w:i w:val="0"/>
                <w:iCs w:val="0"/>
                <w:caps w:val="0"/>
                <w:color w:val="auto"/>
                <w:spacing w:val="0"/>
                <w:sz w:val="21"/>
                <w:szCs w:val="21"/>
                <w:shd w:val="clear" w:color="auto" w:fill="FFFFFF"/>
                <w:lang w:val="en-US" w:eastAsia="zh-CN"/>
              </w:rPr>
              <w:t>利用膳食模型相对精准地量化膳食摄入，为个体/群体膳食评估提供数据收集基础</w:t>
            </w:r>
            <w:r>
              <w:rPr>
                <w:rFonts w:hint="eastAsia" w:ascii="宋体" w:hAnsi="宋体" w:eastAsia="宋体" w:cs="宋体"/>
                <w:i w:val="0"/>
                <w:iCs w:val="0"/>
                <w:caps w:val="0"/>
                <w:color w:val="auto"/>
                <w:spacing w:val="0"/>
                <w:sz w:val="21"/>
                <w:szCs w:val="21"/>
                <w:shd w:val="clear" w:color="auto" w:fill="FFFFFF"/>
              </w:rPr>
              <w:t>。</w:t>
            </w:r>
          </w:p>
          <w:p>
            <w:pPr>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二、产品用途描述：</w:t>
            </w:r>
            <w:r>
              <w:rPr>
                <w:rFonts w:hint="eastAsia" w:ascii="宋体" w:hAnsi="宋体" w:eastAsia="宋体" w:cs="宋体"/>
                <w:i w:val="0"/>
                <w:iCs w:val="0"/>
                <w:caps w:val="0"/>
                <w:color w:val="auto"/>
                <w:spacing w:val="0"/>
                <w:sz w:val="21"/>
                <w:szCs w:val="21"/>
                <w:shd w:val="clear" w:color="auto" w:fill="FFFFFF"/>
                <w:lang w:val="en-US" w:eastAsia="zh-CN"/>
              </w:rPr>
              <w:t>利用膳食模型相对精准地量化膳食摄入，为个体/群体膳食评估提供数据收集基础</w:t>
            </w:r>
            <w:r>
              <w:rPr>
                <w:rFonts w:hint="eastAsia" w:ascii="宋体" w:hAnsi="宋体" w:eastAsia="宋体" w:cs="宋体"/>
                <w:i w:val="0"/>
                <w:iCs w:val="0"/>
                <w:caps w:val="0"/>
                <w:color w:val="auto"/>
                <w:spacing w:val="0"/>
                <w:sz w:val="21"/>
                <w:szCs w:val="21"/>
                <w:shd w:val="clear" w:color="auto" w:fill="FFFFFF"/>
              </w:rPr>
              <w:t>。</w:t>
            </w:r>
          </w:p>
          <w:p>
            <w:pPr>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三、产品技术参数：</w:t>
            </w:r>
          </w:p>
          <w:p>
            <w:pPr>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r>
              <w:rPr>
                <w:rFonts w:hint="eastAsia" w:ascii="宋体" w:hAnsi="宋体" w:eastAsia="宋体" w:cs="宋体"/>
                <w:i w:val="0"/>
                <w:color w:val="auto"/>
                <w:sz w:val="21"/>
                <w:szCs w:val="21"/>
                <w:u w:val="none"/>
              </w:rPr>
              <w:t>按不同能量密度制作大小份，</w:t>
            </w:r>
            <w:r>
              <w:rPr>
                <w:rFonts w:hint="eastAsia" w:ascii="宋体" w:hAnsi="宋体" w:eastAsia="宋体" w:cs="宋体"/>
                <w:i w:val="0"/>
                <w:color w:val="auto"/>
                <w:sz w:val="21"/>
                <w:szCs w:val="21"/>
                <w:u w:val="none"/>
                <w:lang w:val="en-US" w:eastAsia="zh-CN"/>
              </w:rPr>
              <w:t>用于</w:t>
            </w:r>
            <w:r>
              <w:rPr>
                <w:rFonts w:hint="eastAsia" w:ascii="宋体" w:hAnsi="宋体" w:eastAsia="宋体" w:cs="宋体"/>
                <w:i w:val="0"/>
                <w:color w:val="auto"/>
                <w:sz w:val="21"/>
                <w:szCs w:val="21"/>
                <w:u w:val="none"/>
              </w:rPr>
              <w:t>科研和数据收集</w:t>
            </w:r>
            <w:r>
              <w:rPr>
                <w:rFonts w:hint="eastAsia" w:ascii="宋体" w:hAnsi="宋体" w:eastAsia="宋体" w:cs="宋体"/>
                <w:i w:val="0"/>
                <w:color w:val="auto"/>
                <w:sz w:val="21"/>
                <w:szCs w:val="21"/>
                <w:u w:val="none"/>
                <w:lang w:eastAsia="zh-CN"/>
              </w:rPr>
              <w:t>；</w:t>
            </w:r>
          </w:p>
          <w:p>
            <w:pPr>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r>
              <w:rPr>
                <w:rFonts w:hint="eastAsia" w:ascii="宋体" w:hAnsi="宋体" w:eastAsia="宋体" w:cs="宋体"/>
                <w:i w:val="0"/>
                <w:color w:val="auto"/>
                <w:sz w:val="21"/>
                <w:szCs w:val="21"/>
                <w:u w:val="none"/>
              </w:rPr>
              <w:t>所有食物模型严格遵循1:1等比等</w:t>
            </w:r>
            <w:r>
              <w:rPr>
                <w:rFonts w:hint="eastAsia" w:ascii="宋体" w:hAnsi="宋体" w:eastAsia="宋体" w:cs="宋体"/>
                <w:i w:val="0"/>
                <w:color w:val="auto"/>
                <w:sz w:val="21"/>
                <w:szCs w:val="21"/>
                <w:u w:val="none"/>
                <w:lang w:val="en-US" w:eastAsia="zh-CN"/>
              </w:rPr>
              <w:t>寸</w:t>
            </w:r>
            <w:r>
              <w:rPr>
                <w:rFonts w:hint="eastAsia" w:ascii="宋体" w:hAnsi="宋体" w:eastAsia="宋体" w:cs="宋体"/>
                <w:i w:val="0"/>
                <w:color w:val="auto"/>
                <w:sz w:val="21"/>
                <w:szCs w:val="21"/>
                <w:u w:val="none"/>
              </w:rPr>
              <w:t>标准，与真实食物体积、重量</w:t>
            </w:r>
            <w:r>
              <w:rPr>
                <w:rFonts w:hint="eastAsia" w:ascii="宋体" w:hAnsi="宋体" w:eastAsia="宋体" w:cs="宋体"/>
                <w:i w:val="0"/>
                <w:color w:val="auto"/>
                <w:sz w:val="21"/>
                <w:szCs w:val="21"/>
                <w:u w:val="none"/>
                <w:lang w:val="en-US" w:eastAsia="zh-CN"/>
              </w:rPr>
              <w:t>接近</w:t>
            </w:r>
            <w:r>
              <w:rPr>
                <w:rFonts w:hint="eastAsia" w:ascii="宋体" w:hAnsi="宋体" w:eastAsia="宋体" w:cs="宋体"/>
                <w:i w:val="0"/>
                <w:color w:val="auto"/>
                <w:sz w:val="21"/>
                <w:szCs w:val="21"/>
                <w:u w:val="none"/>
              </w:rPr>
              <w:t>一致</w:t>
            </w:r>
            <w:r>
              <w:rPr>
                <w:rFonts w:hint="eastAsia" w:ascii="宋体" w:hAnsi="宋体" w:eastAsia="宋体" w:cs="宋体"/>
                <w:i w:val="0"/>
                <w:color w:val="auto"/>
                <w:sz w:val="21"/>
                <w:szCs w:val="21"/>
                <w:u w:val="none"/>
                <w:lang w:eastAsia="zh-CN"/>
              </w:rPr>
              <w:t>；</w:t>
            </w:r>
          </w:p>
          <w:p>
            <w:pPr>
              <w:spacing w:line="240" w:lineRule="auto"/>
              <w:rPr>
                <w:rFonts w:hint="eastAsia" w:ascii="宋体" w:hAnsi="宋体" w:eastAsia="宋体" w:cs="宋体"/>
                <w:i w:val="0"/>
                <w:color w:val="auto"/>
                <w:sz w:val="21"/>
                <w:szCs w:val="21"/>
                <w:u w:val="none"/>
                <w:lang w:val="en-US" w:eastAsia="zh-CN"/>
              </w:rPr>
            </w:pPr>
            <w:r>
              <w:rPr>
                <w:rFonts w:hint="eastAsia" w:ascii="宋体" w:hAnsi="宋体" w:eastAsia="宋体" w:cs="宋体"/>
                <w:color w:val="auto"/>
                <w:sz w:val="21"/>
                <w:szCs w:val="21"/>
                <w:vertAlign w:val="baseline"/>
                <w:lang w:val="en-US" w:eastAsia="zh-CN"/>
              </w:rPr>
              <w:t>3、</w:t>
            </w:r>
            <w:r>
              <w:rPr>
                <w:rFonts w:hint="eastAsia" w:ascii="宋体" w:hAnsi="宋体" w:eastAsia="宋体" w:cs="宋体"/>
                <w:i w:val="0"/>
                <w:color w:val="auto"/>
                <w:sz w:val="21"/>
                <w:szCs w:val="21"/>
                <w:u w:val="none"/>
                <w:lang w:val="en-US" w:eastAsia="zh-CN"/>
              </w:rPr>
              <w:t>模型分为9大类食物，具体包含：谷薯类、蔬菜类、水果类、肉类、水产品、乳类、大豆类、油脂类、嗜好品类，</w:t>
            </w:r>
            <w:r>
              <w:rPr>
                <w:rFonts w:hint="eastAsia" w:ascii="宋体" w:hAnsi="宋体" w:eastAsia="宋体" w:cs="宋体"/>
                <w:i w:val="0"/>
                <w:iCs w:val="0"/>
                <w:color w:val="000000"/>
                <w:kern w:val="0"/>
                <w:sz w:val="21"/>
                <w:szCs w:val="21"/>
                <w:u w:val="none"/>
                <w:lang w:val="en-US" w:eastAsia="zh-CN" w:bidi="ar"/>
              </w:rPr>
              <w:t>共</w:t>
            </w:r>
            <w:r>
              <w:rPr>
                <w:rFonts w:hint="eastAsia" w:ascii="宋体" w:hAnsi="宋体" w:eastAsia="宋体" w:cs="宋体"/>
                <w:i w:val="0"/>
                <w:color w:val="auto"/>
                <w:sz w:val="21"/>
                <w:szCs w:val="21"/>
                <w:u w:val="none"/>
                <w:lang w:val="en-US" w:eastAsia="zh-CN"/>
              </w:rPr>
              <w:t>70种食物；</w:t>
            </w:r>
          </w:p>
          <w:p>
            <w:pPr>
              <w:spacing w:line="240" w:lineRule="auto"/>
              <w:rPr>
                <w:rFonts w:hint="eastAsia" w:ascii="宋体" w:hAnsi="宋体" w:eastAsia="宋体" w:cs="宋体"/>
                <w:i w:val="0"/>
                <w:color w:val="auto"/>
                <w:sz w:val="21"/>
                <w:szCs w:val="21"/>
                <w:u w:val="none"/>
                <w:lang w:eastAsia="zh-CN"/>
              </w:rPr>
            </w:pPr>
            <w:r>
              <w:rPr>
                <w:rFonts w:hint="eastAsia" w:ascii="宋体" w:hAnsi="宋体" w:eastAsia="宋体" w:cs="宋体"/>
                <w:i w:val="0"/>
                <w:color w:val="auto"/>
                <w:sz w:val="21"/>
                <w:szCs w:val="21"/>
                <w:u w:val="none"/>
                <w:lang w:val="en-US" w:eastAsia="zh-CN"/>
              </w:rPr>
              <w:t>4、模型带有</w:t>
            </w:r>
            <w:r>
              <w:rPr>
                <w:rFonts w:hint="eastAsia" w:ascii="宋体" w:hAnsi="宋体" w:eastAsia="宋体" w:cs="宋体"/>
                <w:i w:val="0"/>
                <w:color w:val="auto"/>
                <w:sz w:val="21"/>
                <w:szCs w:val="21"/>
                <w:u w:val="none"/>
              </w:rPr>
              <w:t>二维码</w:t>
            </w:r>
            <w:r>
              <w:rPr>
                <w:rFonts w:hint="eastAsia" w:ascii="宋体" w:hAnsi="宋体" w:eastAsia="宋体" w:cs="宋体"/>
                <w:i w:val="0"/>
                <w:color w:val="auto"/>
                <w:sz w:val="21"/>
                <w:szCs w:val="21"/>
                <w:u w:val="none"/>
                <w:lang w:val="en-US" w:eastAsia="zh-CN"/>
              </w:rPr>
              <w:t>标签</w:t>
            </w:r>
            <w:r>
              <w:rPr>
                <w:rFonts w:hint="eastAsia" w:ascii="宋体" w:hAnsi="宋体" w:eastAsia="宋体" w:cs="宋体"/>
                <w:i w:val="0"/>
                <w:color w:val="auto"/>
                <w:sz w:val="21"/>
                <w:szCs w:val="21"/>
                <w:u w:val="none"/>
              </w:rPr>
              <w:t>，</w:t>
            </w:r>
            <w:r>
              <w:rPr>
                <w:rFonts w:hint="eastAsia" w:ascii="宋体" w:hAnsi="宋体" w:eastAsia="宋体" w:cs="宋体"/>
                <w:i w:val="0"/>
                <w:color w:val="auto"/>
                <w:sz w:val="21"/>
                <w:szCs w:val="21"/>
                <w:u w:val="none"/>
                <w:lang w:val="en-US" w:eastAsia="zh-CN"/>
              </w:rPr>
              <w:t>可在小程序中读取营养数据，或配套营养数据解读软件APP</w:t>
            </w:r>
            <w:r>
              <w:rPr>
                <w:rFonts w:hint="eastAsia" w:ascii="宋体" w:hAnsi="宋体" w:eastAsia="宋体" w:cs="宋体"/>
                <w:i w:val="0"/>
                <w:color w:val="auto"/>
                <w:sz w:val="21"/>
                <w:szCs w:val="21"/>
                <w:u w:val="none"/>
                <w:lang w:eastAsia="zh-CN"/>
              </w:rPr>
              <w:t>；</w:t>
            </w:r>
          </w:p>
          <w:p>
            <w:pPr>
              <w:spacing w:line="240" w:lineRule="auto"/>
              <w:rPr>
                <w:rFonts w:hint="eastAsia" w:ascii="宋体" w:hAnsi="宋体" w:eastAsia="宋体" w:cs="宋体"/>
                <w:i w:val="0"/>
                <w:color w:val="auto"/>
                <w:sz w:val="21"/>
                <w:szCs w:val="21"/>
                <w:u w:val="none"/>
                <w:lang w:eastAsia="zh-CN"/>
              </w:rPr>
            </w:pPr>
            <w:r>
              <w:rPr>
                <w:rFonts w:hint="eastAsia" w:ascii="宋体" w:hAnsi="宋体" w:eastAsia="宋体" w:cs="宋体"/>
                <w:i w:val="0"/>
                <w:color w:val="auto"/>
                <w:sz w:val="21"/>
                <w:szCs w:val="21"/>
                <w:u w:val="none"/>
                <w:lang w:val="en-US" w:eastAsia="zh-CN"/>
              </w:rPr>
              <w:t>5、</w:t>
            </w:r>
            <w:r>
              <w:rPr>
                <w:rFonts w:hint="eastAsia" w:ascii="宋体" w:hAnsi="宋体" w:eastAsia="宋体" w:cs="宋体"/>
                <w:i w:val="0"/>
                <w:color w:val="auto"/>
                <w:sz w:val="21"/>
                <w:szCs w:val="21"/>
                <w:u w:val="none"/>
              </w:rPr>
              <w:t>一键扫码即可获取营养成分、热量数据及健康建议，实现云端数据共享</w:t>
            </w:r>
            <w:r>
              <w:rPr>
                <w:rFonts w:hint="eastAsia" w:ascii="宋体" w:hAnsi="宋体" w:eastAsia="宋体" w:cs="宋体"/>
                <w:i w:val="0"/>
                <w:color w:val="auto"/>
                <w:sz w:val="21"/>
                <w:szCs w:val="21"/>
                <w:u w:val="none"/>
                <w:lang w:eastAsia="zh-CN"/>
              </w:rPr>
              <w:t>；</w:t>
            </w:r>
          </w:p>
          <w:p>
            <w:pPr>
              <w:spacing w:line="240" w:lineRule="auto"/>
              <w:rPr>
                <w:rFonts w:hint="eastAsia" w:ascii="宋体" w:hAnsi="宋体" w:eastAsia="宋体" w:cs="宋体"/>
                <w:i w:val="0"/>
                <w:color w:val="auto"/>
                <w:sz w:val="21"/>
                <w:szCs w:val="21"/>
                <w:u w:val="none"/>
                <w:lang w:eastAsia="zh-CN"/>
              </w:rPr>
            </w:pPr>
            <w:r>
              <w:rPr>
                <w:rFonts w:hint="eastAsia" w:ascii="宋体" w:hAnsi="宋体" w:eastAsia="宋体" w:cs="宋体"/>
                <w:i w:val="0"/>
                <w:color w:val="auto"/>
                <w:sz w:val="21"/>
                <w:szCs w:val="21"/>
                <w:u w:val="none"/>
                <w:lang w:val="en-US" w:eastAsia="zh-CN"/>
              </w:rPr>
              <w:t>6、</w:t>
            </w:r>
            <w:r>
              <w:rPr>
                <w:rFonts w:hint="eastAsia" w:ascii="宋体" w:hAnsi="宋体" w:eastAsia="宋体" w:cs="宋体"/>
                <w:i w:val="0"/>
                <w:color w:val="auto"/>
                <w:sz w:val="21"/>
                <w:szCs w:val="21"/>
                <w:u w:val="none"/>
              </w:rPr>
              <w:t>涵盖国内外最新营养标准，为教学与科研提供权威参考</w:t>
            </w:r>
            <w:r>
              <w:rPr>
                <w:rFonts w:hint="eastAsia" w:ascii="宋体" w:hAnsi="宋体" w:eastAsia="宋体" w:cs="宋体"/>
                <w:i w:val="0"/>
                <w:color w:val="auto"/>
                <w:sz w:val="21"/>
                <w:szCs w:val="21"/>
                <w:u w:val="none"/>
                <w:lang w:eastAsia="zh-CN"/>
              </w:rPr>
              <w:t>；</w:t>
            </w:r>
          </w:p>
          <w:p>
            <w:pPr>
              <w:spacing w:line="240" w:lineRule="auto"/>
              <w:rPr>
                <w:rFonts w:hint="eastAsia" w:ascii="宋体" w:hAnsi="宋体" w:eastAsia="宋体" w:cs="宋体"/>
                <w:i w:val="0"/>
                <w:color w:val="auto"/>
                <w:sz w:val="21"/>
                <w:szCs w:val="21"/>
                <w:u w:val="none"/>
                <w:lang w:eastAsia="zh-CN"/>
              </w:rPr>
            </w:pPr>
            <w:r>
              <w:rPr>
                <w:rFonts w:hint="eastAsia" w:ascii="宋体" w:hAnsi="宋体" w:eastAsia="宋体" w:cs="宋体"/>
                <w:i w:val="0"/>
                <w:color w:val="auto"/>
                <w:sz w:val="21"/>
                <w:szCs w:val="21"/>
                <w:u w:val="none"/>
                <w:lang w:val="en-US" w:eastAsia="zh-CN"/>
              </w:rPr>
              <w:t>7、</w:t>
            </w:r>
            <w:r>
              <w:rPr>
                <w:rFonts w:hint="eastAsia" w:ascii="宋体" w:hAnsi="宋体" w:eastAsia="宋体" w:cs="宋体"/>
                <w:i w:val="0"/>
                <w:color w:val="auto"/>
                <w:sz w:val="21"/>
                <w:szCs w:val="21"/>
                <w:u w:val="none"/>
              </w:rPr>
              <w:t>支持模块化组合，适配课堂、医院、社区等多场景展示需求</w:t>
            </w:r>
            <w:r>
              <w:rPr>
                <w:rFonts w:hint="eastAsia" w:ascii="宋体" w:hAnsi="宋体" w:eastAsia="宋体" w:cs="宋体"/>
                <w:i w:val="0"/>
                <w:color w:val="auto"/>
                <w:sz w:val="21"/>
                <w:szCs w:val="21"/>
                <w:u w:val="none"/>
                <w:lang w:eastAsia="zh-CN"/>
              </w:rPr>
              <w:t>；</w:t>
            </w:r>
          </w:p>
          <w:p>
            <w:pPr>
              <w:spacing w:line="240" w:lineRule="auto"/>
              <w:rPr>
                <w:rFonts w:hint="default"/>
                <w:lang w:val="en-US" w:eastAsia="zh-CN"/>
              </w:rPr>
            </w:pPr>
            <w:r>
              <w:rPr>
                <w:rFonts w:hint="eastAsia" w:ascii="宋体" w:hAnsi="宋体" w:eastAsia="宋体" w:cs="宋体"/>
                <w:i w:val="0"/>
                <w:color w:val="auto"/>
                <w:sz w:val="21"/>
                <w:szCs w:val="21"/>
                <w:u w:val="none"/>
                <w:lang w:val="en-US" w:eastAsia="zh-CN"/>
              </w:rPr>
              <w:t>8、</w:t>
            </w:r>
            <w:r>
              <w:rPr>
                <w:rFonts w:hint="eastAsia" w:ascii="宋体" w:hAnsi="宋体" w:eastAsia="宋体" w:cs="宋体"/>
                <w:i w:val="0"/>
                <w:color w:val="auto"/>
                <w:sz w:val="21"/>
                <w:szCs w:val="21"/>
                <w:u w:val="none"/>
              </w:rPr>
              <w:t>免费提供年度数据更新与专业技术支持</w:t>
            </w:r>
            <w:r>
              <w:rPr>
                <w:rFonts w:hint="eastAsia" w:ascii="宋体" w:hAnsi="宋体" w:eastAsia="宋体" w:cs="宋体"/>
                <w:i w:val="0"/>
                <w:color w:val="auto"/>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3" w:hRule="atLeast"/>
          <w:jc w:val="center"/>
        </w:trPr>
        <w:tc>
          <w:tcPr>
            <w:tcW w:w="109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7"/>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7"/>
        <w:rPr>
          <w:rFonts w:hint="eastAsia"/>
          <w:highlight w:val="none"/>
        </w:rPr>
      </w:pP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7"/>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7"/>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8"/>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8"/>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7"/>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7"/>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3"/>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7"/>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3"/>
        <w:spacing w:line="360" w:lineRule="auto"/>
        <w:rPr>
          <w:rFonts w:hAnsi="宋体" w:cs="宋体"/>
          <w:color w:val="auto"/>
          <w:highlight w:val="none"/>
        </w:rPr>
      </w:pPr>
    </w:p>
    <w:p>
      <w:pPr>
        <w:pStyle w:val="13"/>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3"/>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449013654"/>
      <w:bookmarkStart w:id="12" w:name="_Toc419989229"/>
      <w:bookmarkStart w:id="13" w:name="_Toc256408661"/>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3"/>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8"/>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3"/>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8"/>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28"/>
        <w:numPr>
          <w:ilvl w:val="0"/>
          <w:numId w:val="5"/>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28"/>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28"/>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28"/>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28"/>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8"/>
        <w:rPr>
          <w:rFonts w:hint="eastAsia"/>
          <w:sz w:val="30"/>
          <w:szCs w:val="30"/>
          <w:highlight w:val="none"/>
          <w:lang w:val="en-US" w:eastAsia="zh-CN"/>
        </w:rPr>
      </w:pPr>
    </w:p>
    <w:p>
      <w:pPr>
        <w:pStyle w:val="8"/>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8"/>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8"/>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8"/>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3"/>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28"/>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7"/>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28"/>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3"/>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7"/>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8"/>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28"/>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28"/>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28"/>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28"/>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28"/>
        <w:numPr>
          <w:ilvl w:val="0"/>
          <w:numId w:val="9"/>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28"/>
        <w:numPr>
          <w:ilvl w:val="0"/>
          <w:numId w:val="9"/>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3"/>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3"/>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3"/>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7"/>
        <w:rPr>
          <w:rFonts w:hint="eastAsia" w:ascii="宋体" w:hAnsi="宋体" w:eastAsia="宋体" w:cs="宋体"/>
          <w:b/>
          <w:bCs/>
          <w:color w:val="auto"/>
          <w:kern w:val="2"/>
          <w:sz w:val="24"/>
          <w:szCs w:val="24"/>
          <w:highlight w:val="none"/>
          <w:lang w:val="en-US" w:eastAsia="zh-CN" w:bidi="ar-SA"/>
        </w:rPr>
      </w:pPr>
    </w:p>
    <w:p>
      <w:pPr>
        <w:pStyle w:val="2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7"/>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8"/>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4"/>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8"/>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EEE48310"/>
    <w:multiLevelType w:val="singleLevel"/>
    <w:tmpl w:val="EEE48310"/>
    <w:lvl w:ilvl="0" w:tentative="0">
      <w:start w:val="1"/>
      <w:numFmt w:val="chineseCounting"/>
      <w:suff w:val="nothing"/>
      <w:lvlText w:val="%1、"/>
      <w:lvlJc w:val="left"/>
      <w:rPr>
        <w:rFonts w:hint="eastAsia"/>
      </w:rPr>
    </w:lvl>
  </w:abstractNum>
  <w:abstractNum w:abstractNumId="3">
    <w:nsid w:val="15B6EBE5"/>
    <w:multiLevelType w:val="singleLevel"/>
    <w:tmpl w:val="15B6EBE5"/>
    <w:lvl w:ilvl="0" w:tentative="0">
      <w:start w:val="1"/>
      <w:numFmt w:val="decimal"/>
      <w:suff w:val="space"/>
      <w:lvlText w:val="%1."/>
      <w:lvlJc w:val="left"/>
      <w:rPr>
        <w:rFonts w:hint="default"/>
        <w:highlight w:val="none"/>
      </w:rPr>
    </w:lvl>
  </w:abstractNum>
  <w:abstractNum w:abstractNumId="4">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29020BD"/>
    <w:multiLevelType w:val="multilevel"/>
    <w:tmpl w:val="229020BD"/>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
  </w:num>
  <w:num w:numId="3">
    <w:abstractNumId w:val="5"/>
  </w:num>
  <w:num w:numId="4">
    <w:abstractNumId w:val="2"/>
  </w:num>
  <w:num w:numId="5">
    <w:abstractNumId w:val="3"/>
  </w:num>
  <w:num w:numId="6">
    <w:abstractNumId w:val="8"/>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BF25CB"/>
    <w:rsid w:val="01DC35DE"/>
    <w:rsid w:val="02090084"/>
    <w:rsid w:val="0209558C"/>
    <w:rsid w:val="02184C85"/>
    <w:rsid w:val="022E27E0"/>
    <w:rsid w:val="0239119C"/>
    <w:rsid w:val="02C927A1"/>
    <w:rsid w:val="035A6EFE"/>
    <w:rsid w:val="041C58C0"/>
    <w:rsid w:val="044B0248"/>
    <w:rsid w:val="0453572F"/>
    <w:rsid w:val="04E9700E"/>
    <w:rsid w:val="0503352A"/>
    <w:rsid w:val="05104339"/>
    <w:rsid w:val="05315C8E"/>
    <w:rsid w:val="054D0FCA"/>
    <w:rsid w:val="05B227CB"/>
    <w:rsid w:val="05FE23E4"/>
    <w:rsid w:val="065B5E71"/>
    <w:rsid w:val="0683159B"/>
    <w:rsid w:val="06832A9D"/>
    <w:rsid w:val="06B71989"/>
    <w:rsid w:val="06E65CD9"/>
    <w:rsid w:val="06F36384"/>
    <w:rsid w:val="06F74FB2"/>
    <w:rsid w:val="073D614E"/>
    <w:rsid w:val="075A3DF2"/>
    <w:rsid w:val="07822398"/>
    <w:rsid w:val="07872427"/>
    <w:rsid w:val="07B62C3E"/>
    <w:rsid w:val="07C61A2F"/>
    <w:rsid w:val="07E656BE"/>
    <w:rsid w:val="07E65C20"/>
    <w:rsid w:val="084A292B"/>
    <w:rsid w:val="089445D0"/>
    <w:rsid w:val="09485B3C"/>
    <w:rsid w:val="0AA7147C"/>
    <w:rsid w:val="0AB62C98"/>
    <w:rsid w:val="0B597947"/>
    <w:rsid w:val="0B6214FB"/>
    <w:rsid w:val="0B9C3B6A"/>
    <w:rsid w:val="0BBF4658"/>
    <w:rsid w:val="0C3258D1"/>
    <w:rsid w:val="0C3D34F4"/>
    <w:rsid w:val="0C517711"/>
    <w:rsid w:val="0C966AEA"/>
    <w:rsid w:val="0CD43105"/>
    <w:rsid w:val="0CFD5D63"/>
    <w:rsid w:val="0D435571"/>
    <w:rsid w:val="0D5468B3"/>
    <w:rsid w:val="0E150DED"/>
    <w:rsid w:val="0E5F143F"/>
    <w:rsid w:val="0E992BE9"/>
    <w:rsid w:val="0EAC6B4A"/>
    <w:rsid w:val="0EB24083"/>
    <w:rsid w:val="0F7861ED"/>
    <w:rsid w:val="0FA60903"/>
    <w:rsid w:val="105772C0"/>
    <w:rsid w:val="1069002A"/>
    <w:rsid w:val="111642F6"/>
    <w:rsid w:val="111D5F25"/>
    <w:rsid w:val="113810CC"/>
    <w:rsid w:val="11A82E40"/>
    <w:rsid w:val="11D30171"/>
    <w:rsid w:val="11E37B79"/>
    <w:rsid w:val="11EE297F"/>
    <w:rsid w:val="12641821"/>
    <w:rsid w:val="12CB3CD0"/>
    <w:rsid w:val="13A75929"/>
    <w:rsid w:val="13B3480E"/>
    <w:rsid w:val="13BB7C9E"/>
    <w:rsid w:val="153D7142"/>
    <w:rsid w:val="161C2B3E"/>
    <w:rsid w:val="16216BFD"/>
    <w:rsid w:val="165E228C"/>
    <w:rsid w:val="16BE0C5C"/>
    <w:rsid w:val="16D51FA8"/>
    <w:rsid w:val="16E05795"/>
    <w:rsid w:val="17377504"/>
    <w:rsid w:val="173D7210"/>
    <w:rsid w:val="17667974"/>
    <w:rsid w:val="17887209"/>
    <w:rsid w:val="17D6162A"/>
    <w:rsid w:val="17F74DB8"/>
    <w:rsid w:val="18901F7E"/>
    <w:rsid w:val="18B057C0"/>
    <w:rsid w:val="18FC7CF7"/>
    <w:rsid w:val="19396934"/>
    <w:rsid w:val="198527A8"/>
    <w:rsid w:val="1A137F5A"/>
    <w:rsid w:val="1A2F1AD2"/>
    <w:rsid w:val="1A6F49F8"/>
    <w:rsid w:val="1ABD7014"/>
    <w:rsid w:val="1B137BE6"/>
    <w:rsid w:val="1B1A5733"/>
    <w:rsid w:val="1B5B06BC"/>
    <w:rsid w:val="1B6E4AE2"/>
    <w:rsid w:val="1B8C07CC"/>
    <w:rsid w:val="1BEB5DB2"/>
    <w:rsid w:val="1BF60C71"/>
    <w:rsid w:val="1BFA69AA"/>
    <w:rsid w:val="1C0301DF"/>
    <w:rsid w:val="1C207687"/>
    <w:rsid w:val="1C34536A"/>
    <w:rsid w:val="1C3B279F"/>
    <w:rsid w:val="1C6E128E"/>
    <w:rsid w:val="1C9F572B"/>
    <w:rsid w:val="1CAD5C95"/>
    <w:rsid w:val="1CD15969"/>
    <w:rsid w:val="1D1B3F41"/>
    <w:rsid w:val="1D2C75C0"/>
    <w:rsid w:val="1D4045F9"/>
    <w:rsid w:val="1D8F12F5"/>
    <w:rsid w:val="1DCD6DCF"/>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CA0488"/>
    <w:rsid w:val="21341782"/>
    <w:rsid w:val="21554A8C"/>
    <w:rsid w:val="215F0962"/>
    <w:rsid w:val="217F37F1"/>
    <w:rsid w:val="21886884"/>
    <w:rsid w:val="2238215B"/>
    <w:rsid w:val="223D7288"/>
    <w:rsid w:val="22BA61A4"/>
    <w:rsid w:val="22EC3BCE"/>
    <w:rsid w:val="22F4634C"/>
    <w:rsid w:val="234A3E31"/>
    <w:rsid w:val="23B46BBA"/>
    <w:rsid w:val="23FD5DAF"/>
    <w:rsid w:val="243B51E0"/>
    <w:rsid w:val="246C7AC3"/>
    <w:rsid w:val="24A91778"/>
    <w:rsid w:val="24C11C45"/>
    <w:rsid w:val="24CA45F1"/>
    <w:rsid w:val="24EE1B49"/>
    <w:rsid w:val="24EF01F3"/>
    <w:rsid w:val="2500285A"/>
    <w:rsid w:val="25007AD8"/>
    <w:rsid w:val="250D579E"/>
    <w:rsid w:val="25145244"/>
    <w:rsid w:val="25331A9A"/>
    <w:rsid w:val="25494348"/>
    <w:rsid w:val="259667D1"/>
    <w:rsid w:val="25BA7C5B"/>
    <w:rsid w:val="26204A40"/>
    <w:rsid w:val="264A3166"/>
    <w:rsid w:val="265B2355"/>
    <w:rsid w:val="26814A58"/>
    <w:rsid w:val="268F3B37"/>
    <w:rsid w:val="26B75F6B"/>
    <w:rsid w:val="26BC499A"/>
    <w:rsid w:val="26BD3179"/>
    <w:rsid w:val="26CE4B14"/>
    <w:rsid w:val="26FA4716"/>
    <w:rsid w:val="270C221F"/>
    <w:rsid w:val="270F369A"/>
    <w:rsid w:val="275D01D5"/>
    <w:rsid w:val="279A3AD7"/>
    <w:rsid w:val="27B93D1B"/>
    <w:rsid w:val="281B1724"/>
    <w:rsid w:val="283E28C9"/>
    <w:rsid w:val="2842607D"/>
    <w:rsid w:val="28A83937"/>
    <w:rsid w:val="28B8054C"/>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F4181D"/>
    <w:rsid w:val="2DF44523"/>
    <w:rsid w:val="2E997E3E"/>
    <w:rsid w:val="2EA9114B"/>
    <w:rsid w:val="2ED449DD"/>
    <w:rsid w:val="2F5C6B97"/>
    <w:rsid w:val="2F675CA4"/>
    <w:rsid w:val="2F996B56"/>
    <w:rsid w:val="2FC13F2A"/>
    <w:rsid w:val="2FED52C1"/>
    <w:rsid w:val="301104A3"/>
    <w:rsid w:val="303B1B22"/>
    <w:rsid w:val="30632B87"/>
    <w:rsid w:val="308B7ADC"/>
    <w:rsid w:val="30D40010"/>
    <w:rsid w:val="30DD098E"/>
    <w:rsid w:val="30FE589E"/>
    <w:rsid w:val="31554C27"/>
    <w:rsid w:val="315610DA"/>
    <w:rsid w:val="317767B0"/>
    <w:rsid w:val="31940280"/>
    <w:rsid w:val="319F0724"/>
    <w:rsid w:val="31B359FE"/>
    <w:rsid w:val="31D924B7"/>
    <w:rsid w:val="32135C6C"/>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405B09"/>
    <w:rsid w:val="37505ED0"/>
    <w:rsid w:val="37C824A9"/>
    <w:rsid w:val="38210A43"/>
    <w:rsid w:val="3866437B"/>
    <w:rsid w:val="38BC427C"/>
    <w:rsid w:val="38D176A1"/>
    <w:rsid w:val="38EC0971"/>
    <w:rsid w:val="39653E32"/>
    <w:rsid w:val="398D7B6D"/>
    <w:rsid w:val="39BC591B"/>
    <w:rsid w:val="39D771DD"/>
    <w:rsid w:val="39DF5AAD"/>
    <w:rsid w:val="3A3D5B99"/>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12C5A7C"/>
    <w:rsid w:val="412C7C92"/>
    <w:rsid w:val="41792E5F"/>
    <w:rsid w:val="419B66BC"/>
    <w:rsid w:val="420B731D"/>
    <w:rsid w:val="426C39B2"/>
    <w:rsid w:val="42B23CCD"/>
    <w:rsid w:val="42E5528F"/>
    <w:rsid w:val="432B4239"/>
    <w:rsid w:val="43697887"/>
    <w:rsid w:val="4400303D"/>
    <w:rsid w:val="441D3794"/>
    <w:rsid w:val="443D4459"/>
    <w:rsid w:val="44953CCD"/>
    <w:rsid w:val="44AC346E"/>
    <w:rsid w:val="44B7079A"/>
    <w:rsid w:val="44CC7A6C"/>
    <w:rsid w:val="45143591"/>
    <w:rsid w:val="452A5EE1"/>
    <w:rsid w:val="453567C5"/>
    <w:rsid w:val="453A2417"/>
    <w:rsid w:val="455E251C"/>
    <w:rsid w:val="456652D4"/>
    <w:rsid w:val="459C4852"/>
    <w:rsid w:val="45B933A3"/>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5C233A"/>
    <w:rsid w:val="4B111850"/>
    <w:rsid w:val="4B147A84"/>
    <w:rsid w:val="4B205564"/>
    <w:rsid w:val="4B5045E6"/>
    <w:rsid w:val="4B985576"/>
    <w:rsid w:val="4BB6471B"/>
    <w:rsid w:val="4C51240A"/>
    <w:rsid w:val="4CD71ED9"/>
    <w:rsid w:val="4CF431C6"/>
    <w:rsid w:val="4D2B081D"/>
    <w:rsid w:val="4D4237F7"/>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68124E"/>
    <w:rsid w:val="52A67ECA"/>
    <w:rsid w:val="5332521F"/>
    <w:rsid w:val="53BC6309"/>
    <w:rsid w:val="53E67E71"/>
    <w:rsid w:val="53E95C3D"/>
    <w:rsid w:val="546A0236"/>
    <w:rsid w:val="547A002E"/>
    <w:rsid w:val="547C3373"/>
    <w:rsid w:val="5499619D"/>
    <w:rsid w:val="549E5733"/>
    <w:rsid w:val="550757F5"/>
    <w:rsid w:val="555A708C"/>
    <w:rsid w:val="55824690"/>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9634FA"/>
    <w:rsid w:val="5B9C5044"/>
    <w:rsid w:val="5B9C5BD2"/>
    <w:rsid w:val="5C01619E"/>
    <w:rsid w:val="5C177BFF"/>
    <w:rsid w:val="5C3948AE"/>
    <w:rsid w:val="5C3C1834"/>
    <w:rsid w:val="5C9820E8"/>
    <w:rsid w:val="5DD966A6"/>
    <w:rsid w:val="5DDA3530"/>
    <w:rsid w:val="5DF620A1"/>
    <w:rsid w:val="5E015851"/>
    <w:rsid w:val="5E190CDE"/>
    <w:rsid w:val="5E360CA9"/>
    <w:rsid w:val="5E475AFB"/>
    <w:rsid w:val="5E837C57"/>
    <w:rsid w:val="5EA957F9"/>
    <w:rsid w:val="5EB13DB3"/>
    <w:rsid w:val="5F3A3895"/>
    <w:rsid w:val="5FE34BB1"/>
    <w:rsid w:val="60517148"/>
    <w:rsid w:val="60A51DE4"/>
    <w:rsid w:val="60C839C0"/>
    <w:rsid w:val="6131076C"/>
    <w:rsid w:val="61613AB1"/>
    <w:rsid w:val="61727776"/>
    <w:rsid w:val="6190519C"/>
    <w:rsid w:val="61A06D7F"/>
    <w:rsid w:val="61BE0D7A"/>
    <w:rsid w:val="61D607D0"/>
    <w:rsid w:val="61FF41C2"/>
    <w:rsid w:val="626277DF"/>
    <w:rsid w:val="627748B5"/>
    <w:rsid w:val="62876290"/>
    <w:rsid w:val="62974644"/>
    <w:rsid w:val="63045DB3"/>
    <w:rsid w:val="63163B5D"/>
    <w:rsid w:val="63524159"/>
    <w:rsid w:val="63C745D9"/>
    <w:rsid w:val="63DD1280"/>
    <w:rsid w:val="63DD4EA7"/>
    <w:rsid w:val="64A24E36"/>
    <w:rsid w:val="64B96719"/>
    <w:rsid w:val="65082B8A"/>
    <w:rsid w:val="650D0D78"/>
    <w:rsid w:val="6510451D"/>
    <w:rsid w:val="65387C9C"/>
    <w:rsid w:val="659A15A4"/>
    <w:rsid w:val="65D32FF8"/>
    <w:rsid w:val="65E13312"/>
    <w:rsid w:val="66B7736C"/>
    <w:rsid w:val="66EE1645"/>
    <w:rsid w:val="670C4881"/>
    <w:rsid w:val="670E33AA"/>
    <w:rsid w:val="672D2639"/>
    <w:rsid w:val="673B1C09"/>
    <w:rsid w:val="67526DE5"/>
    <w:rsid w:val="675E140E"/>
    <w:rsid w:val="67A25C70"/>
    <w:rsid w:val="67A9494A"/>
    <w:rsid w:val="67CB5D7E"/>
    <w:rsid w:val="682C523E"/>
    <w:rsid w:val="684706A4"/>
    <w:rsid w:val="68E84068"/>
    <w:rsid w:val="68FF5F59"/>
    <w:rsid w:val="691B4096"/>
    <w:rsid w:val="693B5FAC"/>
    <w:rsid w:val="6999306E"/>
    <w:rsid w:val="69F820EF"/>
    <w:rsid w:val="6A082188"/>
    <w:rsid w:val="6A7B0378"/>
    <w:rsid w:val="6AA37F06"/>
    <w:rsid w:val="6AD62492"/>
    <w:rsid w:val="6AE066E2"/>
    <w:rsid w:val="6B480FF5"/>
    <w:rsid w:val="6B5668D9"/>
    <w:rsid w:val="6BEB1F0C"/>
    <w:rsid w:val="6BF60B0A"/>
    <w:rsid w:val="6CDE73B7"/>
    <w:rsid w:val="6D017EAB"/>
    <w:rsid w:val="6DA4338E"/>
    <w:rsid w:val="6E476D7E"/>
    <w:rsid w:val="6E715781"/>
    <w:rsid w:val="6E99293A"/>
    <w:rsid w:val="6EC24A7A"/>
    <w:rsid w:val="6EE3414D"/>
    <w:rsid w:val="6F0B7529"/>
    <w:rsid w:val="6F2A5003"/>
    <w:rsid w:val="70231548"/>
    <w:rsid w:val="70931317"/>
    <w:rsid w:val="70DF7B65"/>
    <w:rsid w:val="71A0676C"/>
    <w:rsid w:val="720832B1"/>
    <w:rsid w:val="72386389"/>
    <w:rsid w:val="72E661C7"/>
    <w:rsid w:val="73AF7CC3"/>
    <w:rsid w:val="73E012D1"/>
    <w:rsid w:val="73FF1C70"/>
    <w:rsid w:val="7439413B"/>
    <w:rsid w:val="743E3F7D"/>
    <w:rsid w:val="75021108"/>
    <w:rsid w:val="7533758D"/>
    <w:rsid w:val="758E30F2"/>
    <w:rsid w:val="75E865A6"/>
    <w:rsid w:val="76CE2028"/>
    <w:rsid w:val="76CF6854"/>
    <w:rsid w:val="77017479"/>
    <w:rsid w:val="77091498"/>
    <w:rsid w:val="770B5F62"/>
    <w:rsid w:val="770C35C6"/>
    <w:rsid w:val="77276631"/>
    <w:rsid w:val="77843214"/>
    <w:rsid w:val="77C90B4A"/>
    <w:rsid w:val="78465F9A"/>
    <w:rsid w:val="789F2E9D"/>
    <w:rsid w:val="79116E24"/>
    <w:rsid w:val="7998662A"/>
    <w:rsid w:val="799D03F5"/>
    <w:rsid w:val="79B704A0"/>
    <w:rsid w:val="79FC47F9"/>
    <w:rsid w:val="7A0D464B"/>
    <w:rsid w:val="7A350AD8"/>
    <w:rsid w:val="7A3945A5"/>
    <w:rsid w:val="7A510139"/>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771A2F"/>
    <w:rsid w:val="7DD6268B"/>
    <w:rsid w:val="7DD85997"/>
    <w:rsid w:val="7DE82A56"/>
    <w:rsid w:val="7E4234E1"/>
    <w:rsid w:val="7E63736C"/>
    <w:rsid w:val="7E8404E7"/>
    <w:rsid w:val="7E89375C"/>
    <w:rsid w:val="7E8A2AAD"/>
    <w:rsid w:val="7EF96E18"/>
    <w:rsid w:val="7F014421"/>
    <w:rsid w:val="7F1042B8"/>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semiHidden/>
    <w:qFormat/>
    <w:uiPriority w:val="0"/>
  </w:style>
  <w:style w:type="table" w:default="1" w:styleId="23">
    <w:name w:val="Normal Table"/>
    <w:semiHidden/>
    <w:qFormat/>
    <w:uiPriority w:val="0"/>
    <w:tblPr>
      <w:tblLayout w:type="fixed"/>
      <w:tblCellMar>
        <w:top w:w="0" w:type="dxa"/>
        <w:left w:w="108" w:type="dxa"/>
        <w:bottom w:w="0" w:type="dxa"/>
        <w:right w:w="108" w:type="dxa"/>
      </w:tblCellMar>
    </w:tblPr>
  </w:style>
  <w:style w:type="paragraph" w:customStyle="1" w:styleId="2">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styleId="7">
    <w:name w:val="Body Text First Indent"/>
    <w:basedOn w:val="8"/>
    <w:next w:val="9"/>
    <w:qFormat/>
    <w:uiPriority w:val="0"/>
    <w:pPr>
      <w:ind w:firstLine="420" w:firstLineChars="100"/>
    </w:pPr>
  </w:style>
  <w:style w:type="paragraph" w:styleId="8">
    <w:name w:val="Body Text"/>
    <w:basedOn w:val="1"/>
    <w:semiHidden/>
    <w:unhideWhenUsed/>
    <w:qFormat/>
    <w:uiPriority w:val="0"/>
    <w:pPr>
      <w:spacing w:after="120"/>
    </w:pPr>
  </w:style>
  <w:style w:type="paragraph" w:styleId="9">
    <w:name w:val="toc 6"/>
    <w:basedOn w:val="1"/>
    <w:next w:val="1"/>
    <w:semiHidden/>
    <w:qFormat/>
    <w:uiPriority w:val="0"/>
    <w:pPr>
      <w:ind w:left="1050"/>
      <w:jc w:val="left"/>
    </w:pPr>
    <w:rPr>
      <w:sz w:val="18"/>
      <w:szCs w:val="18"/>
    </w:rPr>
  </w:style>
  <w:style w:type="paragraph" w:styleId="10">
    <w:name w:val="annotation text"/>
    <w:basedOn w:val="1"/>
    <w:qFormat/>
    <w:uiPriority w:val="99"/>
    <w:pPr>
      <w:jc w:val="left"/>
    </w:pPr>
  </w:style>
  <w:style w:type="paragraph" w:styleId="11">
    <w:name w:val="Body Text Indent"/>
    <w:basedOn w:val="1"/>
    <w:next w:val="12"/>
    <w:qFormat/>
    <w:uiPriority w:val="0"/>
    <w:pPr>
      <w:ind w:firstLine="225" w:firstLineChars="225"/>
    </w:pPr>
    <w:rPr>
      <w:rFonts w:ascii="楷体_GB2312" w:hAnsi="楷体_GB2312" w:eastAsia="楷体_GB2312"/>
      <w:sz w:val="32"/>
    </w:rPr>
  </w:style>
  <w:style w:type="paragraph" w:styleId="12">
    <w:name w:val="envelope return"/>
    <w:basedOn w:val="1"/>
    <w:qFormat/>
    <w:uiPriority w:val="0"/>
    <w:pPr>
      <w:snapToGrid w:val="0"/>
    </w:pPr>
    <w:rPr>
      <w:rFonts w:ascii="Arial" w:hAnsi="Arial"/>
    </w:rPr>
  </w:style>
  <w:style w:type="paragraph" w:styleId="13">
    <w:name w:val="Plain Text"/>
    <w:basedOn w:val="1"/>
    <w:next w:val="1"/>
    <w:qFormat/>
    <w:uiPriority w:val="99"/>
    <w:rPr>
      <w:rFonts w:ascii="宋体" w:hAnsi="Courier New"/>
      <w:kern w:val="0"/>
      <w:sz w:val="24"/>
      <w:szCs w:val="21"/>
    </w:rPr>
  </w:style>
  <w:style w:type="paragraph" w:styleId="14">
    <w:name w:val="Date"/>
    <w:basedOn w:val="1"/>
    <w:next w:val="1"/>
    <w:qFormat/>
    <w:uiPriority w:val="0"/>
    <w:pPr>
      <w:ind w:left="100" w:leftChars="2500"/>
    </w:pPr>
    <w:rPr>
      <w:rFonts w:ascii="黑体" w:hAnsi="宋体" w:eastAsia="黑体"/>
      <w:b/>
      <w:bCs/>
      <w:spacing w:val="66"/>
      <w:kern w:val="28"/>
      <w:sz w:val="44"/>
      <w:szCs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8">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20">
    <w:name w:val="Strong"/>
    <w:basedOn w:val="19"/>
    <w:qFormat/>
    <w:uiPriority w:val="0"/>
    <w:rPr>
      <w:b/>
      <w:bCs/>
    </w:rPr>
  </w:style>
  <w:style w:type="character" w:styleId="21">
    <w:name w:val="Hyperlink"/>
    <w:basedOn w:val="19"/>
    <w:qFormat/>
    <w:uiPriority w:val="0"/>
    <w:rPr>
      <w:color w:val="0000FF"/>
      <w:u w:val="single"/>
    </w:rPr>
  </w:style>
  <w:style w:type="character" w:styleId="22">
    <w:name w:val="annotation reference"/>
    <w:basedOn w:val="19"/>
    <w:qFormat/>
    <w:uiPriority w:val="99"/>
    <w:rPr>
      <w:sz w:val="21"/>
      <w:szCs w:val="21"/>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5">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6">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7">
    <w:name w:val="Default"/>
    <w:next w:val="14"/>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8">
    <w:name w:val="List Paragraph"/>
    <w:basedOn w:val="1"/>
    <w:qFormat/>
    <w:uiPriority w:val="0"/>
    <w:pPr>
      <w:ind w:firstLine="420" w:firstLineChars="200"/>
    </w:pPr>
  </w:style>
  <w:style w:type="character" w:customStyle="1" w:styleId="29">
    <w:name w:val="x11"/>
    <w:basedOn w:val="19"/>
    <w:qFormat/>
    <w:uiPriority w:val="0"/>
    <w:rPr>
      <w:rFonts w:ascii="Calibri" w:hAnsi="Calibri" w:cs="Calibri"/>
      <w:sz w:val="18"/>
      <w:szCs w:val="18"/>
    </w:rPr>
  </w:style>
  <w:style w:type="character" w:customStyle="1" w:styleId="30">
    <w:name w:val="x5"/>
    <w:basedOn w:val="19"/>
    <w:qFormat/>
    <w:uiPriority w:val="0"/>
    <w:rPr>
      <w:sz w:val="18"/>
      <w:szCs w:val="18"/>
    </w:rPr>
  </w:style>
  <w:style w:type="character" w:customStyle="1" w:styleId="31">
    <w:name w:val="x4"/>
    <w:basedOn w:val="19"/>
    <w:qFormat/>
    <w:uiPriority w:val="0"/>
    <w:rPr>
      <w:b/>
      <w:bCs/>
      <w:sz w:val="24"/>
      <w:szCs w:val="24"/>
    </w:rPr>
  </w:style>
  <w:style w:type="character" w:customStyle="1" w:styleId="32">
    <w:name w:val="x12"/>
    <w:basedOn w:val="19"/>
    <w:qFormat/>
    <w:uiPriority w:val="0"/>
    <w:rPr>
      <w:rFonts w:hint="default" w:ascii="Calibri" w:hAnsi="Calibri" w:cs="Calibri"/>
      <w:b/>
      <w:bCs/>
      <w:sz w:val="24"/>
      <w:szCs w:val="24"/>
    </w:rPr>
  </w:style>
  <w:style w:type="character" w:customStyle="1" w:styleId="33">
    <w:name w:val="x1"/>
    <w:basedOn w:val="19"/>
    <w:qFormat/>
    <w:uiPriority w:val="0"/>
    <w:rPr>
      <w:rFonts w:hint="default" w:ascii="Calibri" w:hAnsi="Calibri" w:cs="Calibri"/>
      <w:sz w:val="20"/>
      <w:szCs w:val="20"/>
    </w:rPr>
  </w:style>
  <w:style w:type="character" w:customStyle="1" w:styleId="34">
    <w:name w:val="x31"/>
    <w:basedOn w:val="19"/>
    <w:qFormat/>
    <w:uiPriority w:val="0"/>
    <w:rPr>
      <w:rFonts w:hint="default" w:ascii="Times New Roman" w:hAnsi="Times New Roman" w:cs="Times New Roman"/>
      <w:sz w:val="20"/>
      <w:szCs w:val="20"/>
    </w:rPr>
  </w:style>
  <w:style w:type="character" w:customStyle="1" w:styleId="35">
    <w:name w:val="x61"/>
    <w:basedOn w:val="19"/>
    <w:qFormat/>
    <w:uiPriority w:val="0"/>
    <w:rPr>
      <w:sz w:val="18"/>
      <w:szCs w:val="18"/>
    </w:rPr>
  </w:style>
  <w:style w:type="character" w:customStyle="1" w:styleId="36">
    <w:name w:val="x9"/>
    <w:basedOn w:val="19"/>
    <w:qFormat/>
    <w:uiPriority w:val="0"/>
    <w:rPr>
      <w:rFonts w:ascii="Sim Sun" w:hAnsi="Sim Sun" w:eastAsia="Sim Sun" w:cs="Sim Sun"/>
      <w:color w:val="000000"/>
      <w:sz w:val="24"/>
      <w:szCs w:val="24"/>
    </w:rPr>
  </w:style>
  <w:style w:type="character" w:customStyle="1" w:styleId="37">
    <w:name w:val="x10"/>
    <w:basedOn w:val="19"/>
    <w:qFormat/>
    <w:uiPriority w:val="0"/>
    <w:rPr>
      <w:rFonts w:ascii="����" w:hAnsi="����" w:eastAsia="����" w:cs="����"/>
      <w:sz w:val="24"/>
      <w:szCs w:val="24"/>
    </w:rPr>
  </w:style>
  <w:style w:type="character" w:customStyle="1" w:styleId="38">
    <w:name w:val="font51"/>
    <w:basedOn w:val="19"/>
    <w:qFormat/>
    <w:uiPriority w:val="0"/>
    <w:rPr>
      <w:rFonts w:hint="eastAsia" w:ascii="宋体" w:hAnsi="宋体" w:eastAsia="宋体" w:cs="宋体"/>
      <w:b/>
      <w:color w:val="000000"/>
      <w:sz w:val="24"/>
      <w:szCs w:val="24"/>
      <w:u w:val="none"/>
    </w:rPr>
  </w:style>
  <w:style w:type="paragraph" w:customStyle="1" w:styleId="39">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0">
    <w:name w:val="font31"/>
    <w:basedOn w:val="19"/>
    <w:qFormat/>
    <w:uiPriority w:val="0"/>
    <w:rPr>
      <w:rFonts w:hint="eastAsia" w:ascii="宋体" w:hAnsi="宋体" w:eastAsia="宋体" w:cs="宋体"/>
      <w:b/>
      <w:bCs/>
      <w:color w:val="000000"/>
      <w:sz w:val="21"/>
      <w:szCs w:val="21"/>
      <w:u w:val="none"/>
    </w:rPr>
  </w:style>
  <w:style w:type="table" w:customStyle="1" w:styleId="41">
    <w:name w:val="Table Normal"/>
    <w:semiHidden/>
    <w:unhideWhenUsed/>
    <w:qFormat/>
    <w:uiPriority w:val="0"/>
    <w:tblPr>
      <w:tblLayout w:type="fixed"/>
      <w:tblCellMar>
        <w:top w:w="0" w:type="dxa"/>
        <w:left w:w="0" w:type="dxa"/>
        <w:bottom w:w="0" w:type="dxa"/>
        <w:right w:w="0" w:type="dxa"/>
      </w:tblCellMar>
    </w:tblPr>
  </w:style>
  <w:style w:type="paragraph" w:customStyle="1" w:styleId="42">
    <w:name w:val="模板普通正文"/>
    <w:basedOn w:val="11"/>
    <w:qFormat/>
    <w:uiPriority w:val="0"/>
    <w:pPr>
      <w:spacing w:beforeLines="50" w:after="10"/>
      <w:ind w:firstLine="490" w:firstLineChars="175"/>
      <w:jc w:val="left"/>
    </w:pPr>
  </w:style>
  <w:style w:type="character" w:customStyle="1" w:styleId="43">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4">
    <w:name w:val="列表段落1"/>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14756</Words>
  <Characters>15946</Characters>
  <Lines>0</Lines>
  <Paragraphs>0</Paragraphs>
  <ScaleCrop>false</ScaleCrop>
  <LinksUpToDate>false</LinksUpToDate>
  <CharactersWithSpaces>16421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2025-06-03T09:03:35Z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eyJoZGlkIjoiODQ0MzlkNzNjNTY2YWFhMTM3NDFkYWI3OTYzY2VmNzUiLCJ1c2VySWQiOiI5ODAwMzM2MDgifQ==</vt:lpwstr>
  </property>
</Properties>
</file>