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D49C03C">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40"/>
          <w:szCs w:val="32"/>
          <w:highlight w:val="none"/>
        </w:rPr>
        <w:t>吉林大学第一医院25-YJ-0</w:t>
      </w:r>
      <w:r>
        <w:rPr>
          <w:rFonts w:hint="eastAsia" w:hAnsi="宋体"/>
          <w:b/>
          <w:bCs/>
          <w:color w:val="auto"/>
          <w:sz w:val="40"/>
          <w:szCs w:val="32"/>
          <w:highlight w:val="none"/>
          <w:lang w:val="en-US" w:eastAsia="zh-CN"/>
        </w:rPr>
        <w:t>86</w:t>
      </w:r>
      <w:r>
        <w:rPr>
          <w:rFonts w:hint="eastAsia" w:hAnsi="宋体"/>
          <w:b/>
          <w:bCs/>
          <w:color w:val="auto"/>
          <w:sz w:val="40"/>
          <w:szCs w:val="32"/>
          <w:highlight w:val="none"/>
        </w:rPr>
        <w:t>恒定F2大光圈远摄变焦镜头采购项目</w:t>
      </w: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25-YJ-086</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151B2C9">
      <w:pPr>
        <w:pStyle w:val="3"/>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7300"/>
      <w:bookmarkStart w:id="1" w:name="_Toc28895"/>
      <w:bookmarkStart w:id="2" w:name="_Toc2118"/>
      <w:bookmarkStart w:id="3" w:name="_Toc24593"/>
      <w:bookmarkStart w:id="4" w:name="_Toc11932"/>
      <w:r>
        <w:rPr>
          <w:rFonts w:hint="eastAsia" w:cs="宋体"/>
          <w:sz w:val="33"/>
          <w:szCs w:val="33"/>
          <w:highlight w:val="none"/>
          <w:lang w:val="en-US" w:eastAsia="zh-CN"/>
        </w:rPr>
        <w:t xml:space="preserve">   吉林大学第一医院25-YJ-086恒定F2大光圈远摄变焦镜头采购项目</w:t>
      </w: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吉林大学第一医院25-YJ-0</w:t>
      </w:r>
      <w:r>
        <w:rPr>
          <w:rFonts w:hint="eastAsia" w:ascii="宋体" w:hAnsi="宋体" w:cs="宋体"/>
          <w:sz w:val="24"/>
          <w:szCs w:val="24"/>
          <w:highlight w:val="none"/>
          <w:lang w:val="en-US" w:eastAsia="zh-CN"/>
        </w:rPr>
        <w:t>86</w:t>
      </w:r>
      <w:r>
        <w:rPr>
          <w:rFonts w:hint="eastAsia" w:ascii="宋体" w:hAnsi="宋体" w:eastAsia="宋体" w:cs="宋体"/>
          <w:sz w:val="24"/>
          <w:szCs w:val="24"/>
          <w:highlight w:val="none"/>
        </w:rPr>
        <w:t>恒定F2大光圈远摄变焦镜头采购项目的潜在供应商应在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w:t>
      </w:r>
      <w:r>
        <w:rPr>
          <w:rFonts w:hint="eastAsia" w:ascii="宋体" w:hAnsi="宋体" w:cs="宋体"/>
          <w:sz w:val="24"/>
          <w:szCs w:val="24"/>
          <w:highlight w:val="none"/>
          <w:lang w:val="en-US" w:eastAsia="zh-CN"/>
        </w:rPr>
        <w:t>86</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2、项目名称：吉林大学第一医院25-YJ-0</w:t>
      </w:r>
      <w:r>
        <w:rPr>
          <w:rFonts w:hint="eastAsia" w:ascii="宋体" w:hAnsi="宋体" w:cs="宋体"/>
          <w:sz w:val="24"/>
          <w:szCs w:val="24"/>
          <w:highlight w:val="none"/>
          <w:lang w:val="en-US" w:eastAsia="zh-CN"/>
        </w:rPr>
        <w:t>86</w:t>
      </w:r>
      <w:r>
        <w:rPr>
          <w:rFonts w:hint="eastAsia" w:ascii="宋体" w:hAnsi="宋体" w:eastAsia="宋体" w:cs="宋体"/>
          <w:sz w:val="24"/>
          <w:szCs w:val="24"/>
          <w:highlight w:val="none"/>
        </w:rPr>
        <w:t>恒</w:t>
      </w:r>
      <w:bookmarkStart w:id="14" w:name="_GoBack"/>
      <w:bookmarkEnd w:id="14"/>
      <w:r>
        <w:rPr>
          <w:rFonts w:hint="eastAsia" w:ascii="宋体" w:hAnsi="宋体" w:eastAsia="宋体" w:cs="宋体"/>
          <w:sz w:val="24"/>
          <w:szCs w:val="24"/>
          <w:highlight w:val="none"/>
        </w:rPr>
        <w:t>定F2大光圈远摄变焦镜头采购项目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7C2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71DB40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2CB03B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恒定F2大光圈远 摄变焦镜头</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378F1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563CED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40000元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cs="宋体"/>
          <w:highlight w:val="none"/>
          <w:lang w:val="en-US" w:eastAsia="zh-CN"/>
        </w:rPr>
        <w:t>2025年06月04日09时40分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地点：解放大路与云鹤街交汇 科技干部家属楼院内 吉大一院招标管理部一楼会议室</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30</w:t>
      </w:r>
      <w:r>
        <w:rPr>
          <w:rFonts w:hint="eastAsia" w:ascii="宋体" w:hAnsi="宋体" w:eastAsia="宋体" w:cs="宋体"/>
          <w:kern w:val="0"/>
          <w:sz w:val="24"/>
          <w:szCs w:val="24"/>
          <w:highlight w:val="none"/>
          <w:lang w:val="en-US" w:eastAsia="zh-CN" w:bidi="ar"/>
        </w:rPr>
        <w:t>日1</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810E3F7">
      <w:pPr>
        <w:rPr>
          <w:rFonts w:hint="default" w:ascii="Times New Roman" w:hAnsi="Times New Roman" w:eastAsia="宋体" w:cs="Times New Roman"/>
          <w:highlight w:val="none"/>
        </w:rPr>
      </w:pPr>
    </w:p>
    <w:p w14:paraId="0758D973">
      <w:pPr>
        <w:rPr>
          <w:rFonts w:hint="default" w:ascii="Times New Roman" w:hAnsi="Times New Roman" w:eastAsia="宋体" w:cs="Times New Roman"/>
          <w:highlight w:val="none"/>
        </w:rPr>
      </w:pPr>
    </w:p>
    <w:p w14:paraId="487D2856">
      <w:pPr>
        <w:ind w:firstLine="562" w:firstLineChars="200"/>
        <w:jc w:val="left"/>
        <w:rPr>
          <w:rFonts w:hint="eastAsia" w:ascii="Times New Roman" w:hAnsi="Times New Roman" w:eastAsia="宋体" w:cs="Times New Roman"/>
          <w:b/>
          <w:bCs/>
          <w:sz w:val="28"/>
          <w:szCs w:val="28"/>
          <w:highlight w:val="none"/>
        </w:rPr>
      </w:pP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.恒定F2大光圈远 摄变焦镜头</w:t>
      </w:r>
    </w:p>
    <w:tbl>
      <w:tblPr>
        <w:tblStyle w:val="37"/>
        <w:tblW w:w="94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7831"/>
      </w:tblGrid>
      <w:tr w14:paraId="032D1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1663" w:type="dxa"/>
            <w:vAlign w:val="top"/>
          </w:tcPr>
          <w:p w14:paraId="1BDC521B">
            <w:pPr>
              <w:spacing w:line="255" w:lineRule="auto"/>
              <w:rPr>
                <w:rFonts w:ascii="Arial"/>
                <w:sz w:val="21"/>
                <w:highlight w:val="none"/>
              </w:rPr>
            </w:pPr>
          </w:p>
          <w:p w14:paraId="2621A440">
            <w:pPr>
              <w:spacing w:line="256" w:lineRule="auto"/>
              <w:rPr>
                <w:rFonts w:ascii="Arial"/>
                <w:sz w:val="21"/>
                <w:highlight w:val="none"/>
              </w:rPr>
            </w:pPr>
          </w:p>
          <w:p w14:paraId="5021A29B">
            <w:pPr>
              <w:pStyle w:val="36"/>
              <w:spacing w:before="74" w:line="220" w:lineRule="auto"/>
              <w:ind w:left="368"/>
              <w:rPr>
                <w:sz w:val="23"/>
                <w:szCs w:val="23"/>
                <w:highlight w:val="none"/>
              </w:rPr>
            </w:pPr>
            <w:r>
              <w:rPr>
                <w:b/>
                <w:bCs/>
                <w:spacing w:val="-1"/>
                <w:sz w:val="23"/>
                <w:szCs w:val="23"/>
                <w:highlight w:val="none"/>
              </w:rPr>
              <w:t>项目序号</w:t>
            </w:r>
          </w:p>
        </w:tc>
        <w:tc>
          <w:tcPr>
            <w:tcW w:w="7831" w:type="dxa"/>
            <w:vAlign w:val="top"/>
          </w:tcPr>
          <w:p w14:paraId="0FC5BA96">
            <w:pPr>
              <w:pStyle w:val="36"/>
              <w:spacing w:line="210" w:lineRule="auto"/>
              <w:jc w:val="right"/>
              <w:rPr>
                <w:highlight w:val="none"/>
              </w:rPr>
            </w:pPr>
          </w:p>
          <w:p w14:paraId="4C1E9B7A">
            <w:pPr>
              <w:pStyle w:val="36"/>
              <w:spacing w:before="71" w:line="220" w:lineRule="auto"/>
              <w:ind w:left="3425"/>
              <w:rPr>
                <w:sz w:val="23"/>
                <w:szCs w:val="23"/>
                <w:highlight w:val="none"/>
              </w:rPr>
            </w:pPr>
            <w:r>
              <w:rPr>
                <w:b/>
                <w:bCs/>
                <w:spacing w:val="-5"/>
                <w:sz w:val="23"/>
                <w:szCs w:val="23"/>
                <w:highlight w:val="none"/>
              </w:rPr>
              <w:t>招标要求</w:t>
            </w:r>
          </w:p>
          <w:p w14:paraId="744102F5">
            <w:pPr>
              <w:spacing w:line="297" w:lineRule="auto"/>
              <w:rPr>
                <w:rFonts w:ascii="Arial"/>
                <w:sz w:val="21"/>
                <w:highlight w:val="none"/>
              </w:rPr>
            </w:pPr>
          </w:p>
          <w:p w14:paraId="6667247A">
            <w:pPr>
              <w:pStyle w:val="36"/>
              <w:spacing w:before="74" w:line="219" w:lineRule="auto"/>
              <w:rPr>
                <w:sz w:val="23"/>
                <w:szCs w:val="23"/>
                <w:highlight w:val="none"/>
              </w:rPr>
            </w:pPr>
          </w:p>
        </w:tc>
      </w:tr>
      <w:tr w14:paraId="0206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663" w:type="dxa"/>
            <w:vAlign w:val="top"/>
          </w:tcPr>
          <w:p w14:paraId="08F3917C">
            <w:pPr>
              <w:pStyle w:val="36"/>
              <w:spacing w:before="270" w:line="219" w:lineRule="auto"/>
              <w:ind w:left="364"/>
              <w:rPr>
                <w:sz w:val="23"/>
                <w:szCs w:val="23"/>
                <w:highlight w:val="none"/>
              </w:rPr>
            </w:pPr>
            <w:r>
              <w:rPr>
                <w:spacing w:val="2"/>
                <w:sz w:val="23"/>
                <w:szCs w:val="23"/>
                <w:highlight w:val="none"/>
              </w:rPr>
              <w:t>产品名称</w:t>
            </w:r>
          </w:p>
        </w:tc>
        <w:tc>
          <w:tcPr>
            <w:tcW w:w="7831" w:type="dxa"/>
            <w:vAlign w:val="top"/>
          </w:tcPr>
          <w:p w14:paraId="7DE47EF9">
            <w:pPr>
              <w:pStyle w:val="36"/>
              <w:spacing w:before="270" w:line="219" w:lineRule="auto"/>
              <w:ind w:left="2501"/>
              <w:rPr>
                <w:sz w:val="23"/>
                <w:szCs w:val="23"/>
                <w:highlight w:val="none"/>
              </w:rPr>
            </w:pPr>
            <w:r>
              <w:rPr>
                <w:spacing w:val="-1"/>
                <w:sz w:val="23"/>
                <w:szCs w:val="23"/>
                <w:highlight w:val="none"/>
              </w:rPr>
              <w:t>恒定F2大光圈远摄变焦镜头</w:t>
            </w:r>
          </w:p>
        </w:tc>
      </w:tr>
      <w:tr w14:paraId="631A6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63" w:type="dxa"/>
            <w:vAlign w:val="top"/>
          </w:tcPr>
          <w:p w14:paraId="2F1536D9">
            <w:pPr>
              <w:pStyle w:val="36"/>
              <w:spacing w:before="121" w:line="219" w:lineRule="auto"/>
              <w:ind w:left="474"/>
              <w:rPr>
                <w:sz w:val="23"/>
                <w:szCs w:val="23"/>
                <w:highlight w:val="none"/>
              </w:rPr>
            </w:pPr>
            <w:r>
              <w:rPr>
                <w:spacing w:val="-3"/>
                <w:sz w:val="23"/>
                <w:szCs w:val="23"/>
                <w:highlight w:val="none"/>
              </w:rPr>
              <w:t>年用量</w:t>
            </w:r>
          </w:p>
        </w:tc>
        <w:tc>
          <w:tcPr>
            <w:tcW w:w="7831" w:type="dxa"/>
            <w:vAlign w:val="top"/>
          </w:tcPr>
          <w:p w14:paraId="4B4D63CD">
            <w:pPr>
              <w:pStyle w:val="36"/>
              <w:spacing w:before="122" w:line="220" w:lineRule="auto"/>
              <w:ind w:left="3701"/>
              <w:rPr>
                <w:sz w:val="23"/>
                <w:szCs w:val="23"/>
                <w:highlight w:val="none"/>
              </w:rPr>
            </w:pPr>
            <w:r>
              <w:rPr>
                <w:spacing w:val="8"/>
                <w:sz w:val="23"/>
                <w:szCs w:val="23"/>
                <w:highlight w:val="none"/>
              </w:rPr>
              <w:t>1套</w:t>
            </w:r>
          </w:p>
        </w:tc>
      </w:tr>
      <w:tr w14:paraId="28D58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63" w:type="dxa"/>
            <w:vAlign w:val="top"/>
          </w:tcPr>
          <w:p w14:paraId="17FFC9EB">
            <w:pPr>
              <w:pStyle w:val="36"/>
              <w:spacing w:before="199" w:line="218" w:lineRule="auto"/>
              <w:ind w:left="364"/>
              <w:rPr>
                <w:sz w:val="23"/>
                <w:szCs w:val="23"/>
                <w:highlight w:val="none"/>
              </w:rPr>
            </w:pPr>
            <w:r>
              <w:rPr>
                <w:spacing w:val="2"/>
                <w:sz w:val="23"/>
                <w:szCs w:val="23"/>
                <w:highlight w:val="none"/>
              </w:rPr>
              <w:t>预算单价</w:t>
            </w:r>
          </w:p>
        </w:tc>
        <w:tc>
          <w:tcPr>
            <w:tcW w:w="7831" w:type="dxa"/>
            <w:vAlign w:val="top"/>
          </w:tcPr>
          <w:p w14:paraId="2BED3016">
            <w:pPr>
              <w:pStyle w:val="36"/>
              <w:spacing w:before="202" w:line="220" w:lineRule="auto"/>
              <w:ind w:left="3301"/>
              <w:rPr>
                <w:sz w:val="23"/>
                <w:szCs w:val="23"/>
                <w:highlight w:val="none"/>
              </w:rPr>
            </w:pPr>
            <w:r>
              <w:rPr>
                <w:spacing w:val="-1"/>
                <w:sz w:val="23"/>
                <w:szCs w:val="23"/>
                <w:highlight w:val="none"/>
              </w:rPr>
              <w:t>40000元/套</w:t>
            </w:r>
          </w:p>
        </w:tc>
      </w:tr>
      <w:tr w14:paraId="03BF1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63" w:type="dxa"/>
            <w:vAlign w:val="top"/>
          </w:tcPr>
          <w:p w14:paraId="3648D0C5">
            <w:pPr>
              <w:pStyle w:val="36"/>
              <w:spacing w:before="292" w:line="219" w:lineRule="auto"/>
              <w:ind w:left="14"/>
              <w:rPr>
                <w:sz w:val="23"/>
                <w:szCs w:val="23"/>
                <w:highlight w:val="none"/>
              </w:rPr>
            </w:pPr>
            <w:r>
              <w:rPr>
                <w:spacing w:val="1"/>
                <w:sz w:val="23"/>
                <w:szCs w:val="23"/>
                <w:highlight w:val="none"/>
              </w:rPr>
              <w:t>产品功能描述★</w:t>
            </w:r>
          </w:p>
        </w:tc>
        <w:tc>
          <w:tcPr>
            <w:tcW w:w="7831" w:type="dxa"/>
            <w:vAlign w:val="top"/>
          </w:tcPr>
          <w:p w14:paraId="49BFB67C">
            <w:pPr>
              <w:pStyle w:val="36"/>
              <w:spacing w:before="292" w:line="219" w:lineRule="auto"/>
              <w:ind w:left="3191"/>
              <w:rPr>
                <w:sz w:val="23"/>
                <w:szCs w:val="23"/>
                <w:highlight w:val="none"/>
              </w:rPr>
            </w:pPr>
            <w:r>
              <w:rPr>
                <w:spacing w:val="-2"/>
                <w:sz w:val="23"/>
                <w:szCs w:val="23"/>
                <w:highlight w:val="none"/>
              </w:rPr>
              <w:t>满足拍摄需求</w:t>
            </w:r>
          </w:p>
        </w:tc>
      </w:tr>
      <w:tr w14:paraId="05BB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63" w:type="dxa"/>
            <w:vAlign w:val="top"/>
          </w:tcPr>
          <w:p w14:paraId="48155B47">
            <w:pPr>
              <w:pStyle w:val="36"/>
              <w:spacing w:before="223" w:line="219" w:lineRule="auto"/>
              <w:ind w:left="14"/>
              <w:rPr>
                <w:sz w:val="23"/>
                <w:szCs w:val="23"/>
                <w:highlight w:val="none"/>
              </w:rPr>
            </w:pPr>
            <w:r>
              <w:rPr>
                <w:spacing w:val="1"/>
                <w:sz w:val="23"/>
                <w:szCs w:val="23"/>
                <w:highlight w:val="none"/>
              </w:rPr>
              <w:t>产品用途描述★</w:t>
            </w:r>
          </w:p>
        </w:tc>
        <w:tc>
          <w:tcPr>
            <w:tcW w:w="7831" w:type="dxa"/>
            <w:vAlign w:val="top"/>
          </w:tcPr>
          <w:p w14:paraId="16ADC9BA">
            <w:pPr>
              <w:pStyle w:val="36"/>
              <w:spacing w:before="223" w:line="219" w:lineRule="auto"/>
              <w:ind w:left="3191"/>
              <w:rPr>
                <w:sz w:val="23"/>
                <w:szCs w:val="23"/>
                <w:highlight w:val="none"/>
              </w:rPr>
            </w:pPr>
            <w:r>
              <w:rPr>
                <w:spacing w:val="-2"/>
                <w:sz w:val="23"/>
                <w:szCs w:val="23"/>
                <w:highlight w:val="none"/>
              </w:rPr>
              <w:t>满足拍摄需求</w:t>
            </w:r>
          </w:p>
        </w:tc>
      </w:tr>
      <w:tr w14:paraId="324B4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1663" w:type="dxa"/>
            <w:vAlign w:val="top"/>
          </w:tcPr>
          <w:p w14:paraId="2ED8C43F">
            <w:pPr>
              <w:spacing w:line="280" w:lineRule="auto"/>
              <w:rPr>
                <w:rFonts w:ascii="Arial"/>
                <w:sz w:val="21"/>
                <w:highlight w:val="none"/>
              </w:rPr>
            </w:pPr>
          </w:p>
          <w:p w14:paraId="47F71FBD">
            <w:pPr>
              <w:spacing w:line="280" w:lineRule="auto"/>
              <w:rPr>
                <w:rFonts w:ascii="Arial"/>
                <w:sz w:val="21"/>
                <w:highlight w:val="none"/>
              </w:rPr>
            </w:pPr>
          </w:p>
          <w:p w14:paraId="161C7649">
            <w:pPr>
              <w:spacing w:line="280" w:lineRule="auto"/>
              <w:rPr>
                <w:rFonts w:ascii="Arial"/>
                <w:sz w:val="21"/>
                <w:highlight w:val="none"/>
              </w:rPr>
            </w:pPr>
          </w:p>
          <w:p w14:paraId="2BF5CD87">
            <w:pPr>
              <w:spacing w:line="280" w:lineRule="auto"/>
              <w:rPr>
                <w:rFonts w:ascii="Arial"/>
                <w:sz w:val="21"/>
                <w:highlight w:val="none"/>
              </w:rPr>
            </w:pPr>
          </w:p>
          <w:p w14:paraId="03559BAC">
            <w:pPr>
              <w:spacing w:line="281" w:lineRule="auto"/>
              <w:rPr>
                <w:rFonts w:ascii="Arial"/>
                <w:sz w:val="21"/>
                <w:highlight w:val="none"/>
              </w:rPr>
            </w:pPr>
          </w:p>
          <w:p w14:paraId="1C0AF679">
            <w:pPr>
              <w:pStyle w:val="36"/>
              <w:spacing w:before="75" w:line="261" w:lineRule="auto"/>
              <w:ind w:left="363" w:right="15" w:hanging="349"/>
              <w:rPr>
                <w:sz w:val="23"/>
                <w:szCs w:val="23"/>
                <w:highlight w:val="none"/>
              </w:rPr>
            </w:pPr>
            <w:r>
              <w:rPr>
                <w:spacing w:val="1"/>
                <w:sz w:val="23"/>
                <w:szCs w:val="23"/>
                <w:highlight w:val="none"/>
              </w:rPr>
              <w:t>产品技术参数及</w:t>
            </w:r>
            <w:r>
              <w:rPr>
                <w:spacing w:val="4"/>
                <w:sz w:val="23"/>
                <w:szCs w:val="23"/>
                <w:highlight w:val="none"/>
              </w:rPr>
              <w:t xml:space="preserve"> </w:t>
            </w:r>
            <w:r>
              <w:rPr>
                <w:spacing w:val="-2"/>
                <w:sz w:val="23"/>
                <w:szCs w:val="23"/>
                <w:highlight w:val="none"/>
              </w:rPr>
              <w:t>配置要求</w:t>
            </w:r>
          </w:p>
        </w:tc>
        <w:tc>
          <w:tcPr>
            <w:tcW w:w="7831" w:type="dxa"/>
            <w:vAlign w:val="top"/>
          </w:tcPr>
          <w:p w14:paraId="7BF369A5">
            <w:pPr>
              <w:spacing w:line="247" w:lineRule="auto"/>
              <w:rPr>
                <w:rFonts w:ascii="Arial"/>
                <w:sz w:val="21"/>
                <w:highlight w:val="none"/>
              </w:rPr>
            </w:pPr>
          </w:p>
          <w:p w14:paraId="5DE9E027">
            <w:pPr>
              <w:spacing w:line="248" w:lineRule="auto"/>
              <w:rPr>
                <w:rFonts w:ascii="Arial"/>
                <w:sz w:val="21"/>
                <w:highlight w:val="none"/>
              </w:rPr>
            </w:pPr>
          </w:p>
          <w:p w14:paraId="483582E5">
            <w:pPr>
              <w:pStyle w:val="36"/>
              <w:spacing w:before="152" w:line="219" w:lineRule="auto"/>
              <w:ind w:left="421"/>
              <w:rPr>
                <w:sz w:val="23"/>
                <w:szCs w:val="23"/>
                <w:highlight w:val="none"/>
              </w:rPr>
            </w:pPr>
            <w:r>
              <w:rPr>
                <w:sz w:val="23"/>
                <w:szCs w:val="23"/>
                <w:highlight w:val="none"/>
              </w:rPr>
              <w:t>1、镜头卡口：E卡口。</w:t>
            </w:r>
          </w:p>
          <w:p w14:paraId="2708BC82">
            <w:pPr>
              <w:pStyle w:val="36"/>
              <w:spacing w:before="47" w:line="219" w:lineRule="auto"/>
              <w:ind w:left="402"/>
              <w:rPr>
                <w:sz w:val="23"/>
                <w:szCs w:val="23"/>
                <w:highlight w:val="none"/>
              </w:rPr>
            </w:pPr>
            <w:r>
              <w:rPr>
                <w:spacing w:val="-1"/>
                <w:sz w:val="23"/>
                <w:szCs w:val="23"/>
                <w:highlight w:val="none"/>
              </w:rPr>
              <w:t>2、镜头类型：恒定F2大光圈远摄变焦G大师镜头。</w:t>
            </w:r>
          </w:p>
          <w:p w14:paraId="78A5EB1C">
            <w:pPr>
              <w:pStyle w:val="36"/>
              <w:spacing w:before="38" w:line="221" w:lineRule="auto"/>
              <w:ind w:left="402"/>
              <w:rPr>
                <w:sz w:val="23"/>
                <w:szCs w:val="23"/>
                <w:highlight w:val="none"/>
              </w:rPr>
            </w:pPr>
            <w:r>
              <w:rPr>
                <w:sz w:val="23"/>
                <w:szCs w:val="23"/>
                <w:highlight w:val="none"/>
              </w:rPr>
              <w:t>3、焦距：50-150。</w:t>
            </w:r>
          </w:p>
          <w:p w14:paraId="40D9325F">
            <w:pPr>
              <w:pStyle w:val="36"/>
              <w:spacing w:before="20" w:line="216" w:lineRule="auto"/>
              <w:ind w:right="32"/>
              <w:jc w:val="right"/>
              <w:rPr>
                <w:sz w:val="23"/>
                <w:szCs w:val="23"/>
                <w:highlight w:val="none"/>
              </w:rPr>
            </w:pPr>
            <w:r>
              <w:rPr>
                <w:spacing w:val="-5"/>
                <w:sz w:val="23"/>
                <w:szCs w:val="23"/>
                <w:highlight w:val="none"/>
              </w:rPr>
              <w:t>4、镜头结构(组-片):17-19.最大光圈：F2,最小光圈：F22.光圈叶片</w:t>
            </w:r>
            <w:r>
              <w:rPr>
                <w:spacing w:val="-6"/>
                <w:sz w:val="23"/>
                <w:szCs w:val="23"/>
                <w:highlight w:val="none"/>
              </w:rPr>
              <w:t>(数)11</w:t>
            </w:r>
          </w:p>
          <w:p w14:paraId="330665B0">
            <w:pPr>
              <w:pStyle w:val="36"/>
              <w:spacing w:before="64" w:line="219" w:lineRule="auto"/>
              <w:ind w:left="421"/>
              <w:rPr>
                <w:sz w:val="23"/>
                <w:szCs w:val="23"/>
                <w:highlight w:val="none"/>
              </w:rPr>
            </w:pPr>
            <w:r>
              <w:rPr>
                <w:spacing w:val="2"/>
                <w:sz w:val="23"/>
                <w:szCs w:val="23"/>
                <w:highlight w:val="none"/>
              </w:rPr>
              <w:t>5、:最近对焦距离(m)约：0.4-0.74.滤光镜直径(</w:t>
            </w:r>
            <w:r>
              <w:rPr>
                <w:sz w:val="23"/>
                <w:szCs w:val="23"/>
                <w:highlight w:val="none"/>
              </w:rPr>
              <w:t>mm</w:t>
            </w:r>
            <w:r>
              <w:rPr>
                <w:spacing w:val="2"/>
                <w:sz w:val="23"/>
                <w:szCs w:val="23"/>
                <w:highlight w:val="none"/>
              </w:rPr>
              <w:t>)95.</w:t>
            </w:r>
          </w:p>
          <w:p w14:paraId="75EA3B99">
            <w:pPr>
              <w:pStyle w:val="36"/>
              <w:spacing w:before="20"/>
              <w:ind w:left="430" w:right="854" w:hanging="9"/>
              <w:rPr>
                <w:sz w:val="23"/>
                <w:szCs w:val="23"/>
                <w:highlight w:val="none"/>
              </w:rPr>
            </w:pPr>
            <w:r>
              <w:rPr>
                <w:sz w:val="23"/>
                <w:szCs w:val="23"/>
                <w:highlight w:val="none"/>
              </w:rPr>
              <w:t>6、尺寸(最大直径x长)(mm)约：102.8x200 mm.</w:t>
            </w:r>
            <w:r>
              <w:rPr>
                <w:spacing w:val="-1"/>
                <w:sz w:val="23"/>
                <w:szCs w:val="23"/>
                <w:highlight w:val="none"/>
              </w:rPr>
              <w:t>质量(g)约：1340g</w:t>
            </w:r>
            <w:r>
              <w:rPr>
                <w:sz w:val="23"/>
                <w:szCs w:val="23"/>
                <w:highlight w:val="none"/>
              </w:rPr>
              <w:t xml:space="preserve"> </w:t>
            </w:r>
            <w:r>
              <w:rPr>
                <w:spacing w:val="4"/>
                <w:sz w:val="23"/>
                <w:szCs w:val="23"/>
                <w:highlight w:val="none"/>
              </w:rPr>
              <w:t>内含b+</w:t>
            </w:r>
            <w:r>
              <w:rPr>
                <w:sz w:val="23"/>
                <w:szCs w:val="23"/>
                <w:highlight w:val="none"/>
              </w:rPr>
              <w:t>w</w:t>
            </w:r>
            <w:r>
              <w:rPr>
                <w:spacing w:val="4"/>
                <w:sz w:val="23"/>
                <w:szCs w:val="23"/>
                <w:highlight w:val="none"/>
              </w:rPr>
              <w:t xml:space="preserve"> </w:t>
            </w:r>
            <w:r>
              <w:rPr>
                <w:sz w:val="23"/>
                <w:szCs w:val="23"/>
                <w:highlight w:val="none"/>
              </w:rPr>
              <w:t>uv</w:t>
            </w:r>
            <w:r>
              <w:rPr>
                <w:spacing w:val="4"/>
                <w:sz w:val="23"/>
                <w:szCs w:val="23"/>
                <w:highlight w:val="none"/>
              </w:rPr>
              <w:t>镜滤镜尺寸：95</w:t>
            </w:r>
            <w:r>
              <w:rPr>
                <w:sz w:val="23"/>
                <w:szCs w:val="23"/>
                <w:highlight w:val="none"/>
              </w:rPr>
              <w:t>mm</w:t>
            </w:r>
            <w:r>
              <w:rPr>
                <w:spacing w:val="4"/>
                <w:sz w:val="23"/>
                <w:szCs w:val="23"/>
                <w:highlight w:val="none"/>
              </w:rPr>
              <w:t>.</w:t>
            </w:r>
          </w:p>
        </w:tc>
      </w:tr>
      <w:tr w14:paraId="720D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663" w:type="dxa"/>
            <w:vAlign w:val="top"/>
          </w:tcPr>
          <w:p w14:paraId="6CBC6110">
            <w:pPr>
              <w:pStyle w:val="36"/>
              <w:spacing w:before="234" w:line="251" w:lineRule="auto"/>
              <w:ind w:left="247" w:right="33" w:hanging="229"/>
              <w:rPr>
                <w:sz w:val="23"/>
                <w:szCs w:val="23"/>
                <w:highlight w:val="none"/>
              </w:rPr>
            </w:pPr>
            <w:r>
              <w:rPr>
                <w:b/>
                <w:bCs/>
                <w:spacing w:val="-4"/>
                <w:sz w:val="23"/>
                <w:szCs w:val="23"/>
                <w:highlight w:val="none"/>
              </w:rPr>
              <w:t>产品售后及其他</w:t>
            </w:r>
            <w:r>
              <w:rPr>
                <w:spacing w:val="1"/>
                <w:sz w:val="23"/>
                <w:szCs w:val="23"/>
                <w:highlight w:val="none"/>
              </w:rPr>
              <w:t xml:space="preserve"> </w:t>
            </w:r>
            <w:r>
              <w:rPr>
                <w:b/>
                <w:bCs/>
                <w:spacing w:val="-4"/>
                <w:sz w:val="23"/>
                <w:szCs w:val="23"/>
                <w:highlight w:val="none"/>
              </w:rPr>
              <w:t>特殊要求★</w:t>
            </w:r>
          </w:p>
        </w:tc>
        <w:tc>
          <w:tcPr>
            <w:tcW w:w="7831" w:type="dxa"/>
            <w:vAlign w:val="top"/>
          </w:tcPr>
          <w:p w14:paraId="38549E27">
            <w:pPr>
              <w:spacing w:line="311" w:lineRule="auto"/>
              <w:rPr>
                <w:rFonts w:ascii="Arial"/>
                <w:sz w:val="21"/>
                <w:highlight w:val="none"/>
              </w:rPr>
            </w:pPr>
          </w:p>
          <w:p w14:paraId="5F6BEB06">
            <w:pPr>
              <w:pStyle w:val="36"/>
              <w:spacing w:before="75" w:line="219" w:lineRule="auto"/>
              <w:ind w:left="3301"/>
              <w:rPr>
                <w:sz w:val="23"/>
                <w:szCs w:val="23"/>
                <w:highlight w:val="none"/>
              </w:rPr>
            </w:pPr>
            <w:r>
              <w:rPr>
                <w:spacing w:val="-2"/>
                <w:sz w:val="23"/>
                <w:szCs w:val="23"/>
                <w:highlight w:val="none"/>
              </w:rPr>
              <w:t>质保期两年</w:t>
            </w:r>
          </w:p>
        </w:tc>
      </w:tr>
    </w:tbl>
    <w:p w14:paraId="1D4725FD">
      <w:pPr>
        <w:ind w:firstLine="1140" w:firstLineChars="500"/>
        <w:rPr>
          <w:rFonts w:ascii="楷体" w:hAnsi="楷体" w:eastAsia="楷体" w:cs="楷体"/>
          <w:spacing w:val="-6"/>
          <w:sz w:val="24"/>
          <w:szCs w:val="24"/>
          <w:highlight w:val="none"/>
        </w:rPr>
      </w:pPr>
    </w:p>
    <w:p w14:paraId="7F8C63B6">
      <w:pPr>
        <w:ind w:firstLine="1140" w:firstLineChars="500"/>
        <w:rPr>
          <w:rFonts w:ascii="楷体" w:hAnsi="楷体" w:eastAsia="楷体" w:cs="楷体"/>
          <w:spacing w:val="-6"/>
          <w:sz w:val="24"/>
          <w:szCs w:val="24"/>
          <w:highlight w:val="none"/>
        </w:rPr>
      </w:pPr>
    </w:p>
    <w:p w14:paraId="7DBA385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92D49F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5F84E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1DC74E2">
      <w:pPr>
        <w:ind w:firstLine="1405" w:firstLineChars="500"/>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8369"/>
      <w:bookmarkStart w:id="6" w:name="_Toc7164"/>
      <w:bookmarkStart w:id="7" w:name="_Toc14606"/>
      <w:bookmarkStart w:id="8" w:name="_Toc10880"/>
      <w:bookmarkStart w:id="9" w:name="_Toc585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1117" w:type="dxa"/>
          </w:tcPr>
          <w:p w14:paraId="498F2533">
            <w:pPr>
              <w:widowControl/>
              <w:jc w:val="center"/>
              <w:rPr>
                <w:rFonts w:ascii="宋体" w:hAnsi="宋体"/>
                <w:b/>
                <w:szCs w:val="21"/>
                <w:highlight w:val="none"/>
              </w:rPr>
            </w:pPr>
          </w:p>
        </w:tc>
        <w:tc>
          <w:tcPr>
            <w:tcW w:w="911"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1117" w:type="dxa"/>
          </w:tcPr>
          <w:p w14:paraId="0DD70EBD">
            <w:pPr>
              <w:widowControl/>
              <w:jc w:val="center"/>
              <w:rPr>
                <w:rFonts w:ascii="宋体" w:hAnsi="宋体"/>
                <w:b/>
                <w:szCs w:val="21"/>
                <w:highlight w:val="none"/>
              </w:rPr>
            </w:pPr>
          </w:p>
        </w:tc>
        <w:tc>
          <w:tcPr>
            <w:tcW w:w="911"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9E36F3"/>
    <w:rsid w:val="05B227CB"/>
    <w:rsid w:val="06191786"/>
    <w:rsid w:val="06E65CD9"/>
    <w:rsid w:val="06F74FB2"/>
    <w:rsid w:val="07325A44"/>
    <w:rsid w:val="073D614E"/>
    <w:rsid w:val="07C61A2F"/>
    <w:rsid w:val="07E40E92"/>
    <w:rsid w:val="07E656BE"/>
    <w:rsid w:val="07E65C20"/>
    <w:rsid w:val="084A292B"/>
    <w:rsid w:val="0B597947"/>
    <w:rsid w:val="0BBF4658"/>
    <w:rsid w:val="0C3258D1"/>
    <w:rsid w:val="0CA40BCC"/>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EC3BCE"/>
    <w:rsid w:val="22F4634C"/>
    <w:rsid w:val="234A3E31"/>
    <w:rsid w:val="243B51E0"/>
    <w:rsid w:val="24CA45F1"/>
    <w:rsid w:val="24EE1B49"/>
    <w:rsid w:val="2500285A"/>
    <w:rsid w:val="250D579E"/>
    <w:rsid w:val="25494348"/>
    <w:rsid w:val="259667D1"/>
    <w:rsid w:val="26204A40"/>
    <w:rsid w:val="26BD3179"/>
    <w:rsid w:val="26FA4716"/>
    <w:rsid w:val="275D01D5"/>
    <w:rsid w:val="279A3AD7"/>
    <w:rsid w:val="27B24B6D"/>
    <w:rsid w:val="280B6894"/>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B4359E0"/>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901140"/>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D966A6"/>
    <w:rsid w:val="5DF620A1"/>
    <w:rsid w:val="5E015851"/>
    <w:rsid w:val="5E360CA9"/>
    <w:rsid w:val="5E837C57"/>
    <w:rsid w:val="60A51DE4"/>
    <w:rsid w:val="61613AB1"/>
    <w:rsid w:val="61A06D7F"/>
    <w:rsid w:val="626277DF"/>
    <w:rsid w:val="627748B5"/>
    <w:rsid w:val="62876290"/>
    <w:rsid w:val="63045DB3"/>
    <w:rsid w:val="6332430A"/>
    <w:rsid w:val="63972DD1"/>
    <w:rsid w:val="63DD1280"/>
    <w:rsid w:val="64A24E36"/>
    <w:rsid w:val="64B96719"/>
    <w:rsid w:val="64F83802"/>
    <w:rsid w:val="650D0D78"/>
    <w:rsid w:val="65387C9C"/>
    <w:rsid w:val="65591DAB"/>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6FFF4090"/>
    <w:rsid w:val="70004F9E"/>
    <w:rsid w:val="70F12E0C"/>
    <w:rsid w:val="726A0DA9"/>
    <w:rsid w:val="730E6F0C"/>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5046</Words>
  <Characters>5522</Characters>
  <Lines>0</Lines>
  <Paragraphs>0</Paragraphs>
  <TotalTime>9</TotalTime>
  <ScaleCrop>false</ScaleCrop>
  <LinksUpToDate>false</LinksUpToDate>
  <CharactersWithSpaces>6162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2025-05-27T07:07:46Z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561BB8FAA2534FE08FDA1D9C4A10D9E2_13</vt:lpwstr>
  </property>
  <property fmtid="{D5CDD505-2E9C-101B-9397-08002B2CF9AE}" pid="4" name="KSOTemplateDocerSaveRecord">
    <vt:lpwstr>eyJoZGlkIjoiMTY2M2U3YTQ2NGQzYmI3OGZlYzcyZWM5OGNiM2M2YzIiLCJ1c2VySWQiOiIyMjg2NjU3NTEifQ==</vt:lpwstr>
  </property>
</Properties>
</file>