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吉林大学第一医院25-YJ-050振荡型恒温金属浴等设备采购项目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吉林大学第一医院25-YJ-050振荡型恒温金属浴等设备采购项目议价公告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28895"/>
      <w:bookmarkStart w:id="2" w:name="_Toc11932"/>
      <w:bookmarkStart w:id="3" w:name="_Toc24593"/>
      <w:bookmarkStart w:id="4" w:name="_Toc2118"/>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吉林大学第一医院25-YJ-050振荡型恒温金属浴等设备采购项目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吉林大学第一医院25-YJ-050振荡型恒温金属浴等设备采购项目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04</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25-YJ-050</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吉林大学第一医院25-YJ-050振荡型恒温金属浴等设备采购项目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振荡型恒温金属浴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基因扩增仪/PCR仪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0.</w:t>
            </w:r>
            <w:r>
              <w:rPr>
                <w:rFonts w:hint="eastAsia" w:ascii="宋体" w:hAnsi="宋体" w:cs="宋体"/>
                <w:i w:val="0"/>
                <w:color w:val="auto"/>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荧光定量仪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生物分析仪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真空浓缩仪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高通量基因测序仪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测序数据处理系统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0.33</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jdyyzbb@163.com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2025年04月10日13时30分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议价地点：吉林大学第一医院8</w:t>
      </w:r>
      <w:bookmarkStart w:id="14" w:name="_GoBack"/>
      <w:bookmarkEnd w:id="14"/>
      <w:r>
        <w:rPr>
          <w:rFonts w:hint="eastAsia" w:ascii="宋体" w:hAnsi="宋体" w:cs="宋体"/>
          <w:highlight w:val="none"/>
          <w:lang w:val="en-US" w:eastAsia="zh-CN"/>
        </w:rPr>
        <w:t>号楼一楼15会议室</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0880"/>
      <w:bookmarkStart w:id="6" w:name="_Toc14606"/>
      <w:bookmarkStart w:id="7" w:name="_Toc7164"/>
      <w:bookmarkStart w:id="8" w:name="_Toc5854"/>
      <w:bookmarkStart w:id="9" w:name="_Toc28369"/>
      <w:r>
        <w:rPr>
          <w:rFonts w:hint="eastAsia" w:cs="Times New Roman"/>
          <w:b/>
          <w:bCs/>
          <w:sz w:val="28"/>
          <w:szCs w:val="28"/>
          <w:highlight w:val="none"/>
          <w:lang w:val="en-US" w:eastAsia="zh-CN"/>
        </w:rPr>
        <w:t>序号1.振荡型恒温金属浴</w:t>
      </w:r>
    </w:p>
    <w:tbl>
      <w:tblPr>
        <w:tblStyle w:val="23"/>
        <w:tblW w:w="10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99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88"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振荡型恒温金属浴</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99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8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jc w:val="center"/>
        </w:trPr>
        <w:tc>
          <w:tcPr>
            <w:tcW w:w="1038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生物反应样品和化学反应样品孵化、催化、保存以及混匀等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实验样本孵育及混匀</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1、震荡和恒温相结合；</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2、温度范围0℃-100℃可调；</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3、震荡幅度可调；</w:t>
            </w:r>
          </w:p>
          <w:p>
            <w:pPr>
              <w:pStyle w:val="28"/>
              <w:numPr>
                <w:ilvl w:val="0"/>
                <w:numId w:val="0"/>
              </w:numPr>
              <w:spacing w:line="240" w:lineRule="auto"/>
              <w:jc w:val="left"/>
              <w:rPr>
                <w:rFonts w:hint="default"/>
                <w:lang w:val="en-US" w:eastAsia="zh-CN"/>
              </w:rPr>
            </w:pPr>
            <w:r>
              <w:rPr>
                <w:rFonts w:hint="eastAsia" w:ascii="宋体" w:hAnsi="宋体" w:eastAsia="宋体" w:cs="宋体"/>
                <w:color w:val="auto"/>
                <w:kern w:val="0"/>
                <w:sz w:val="21"/>
                <w:szCs w:val="21"/>
                <w:lang w:val="en-US" w:eastAsia="zh-CN" w:bidi="ar-SA"/>
              </w:rPr>
              <w:t>2、模块适合1.5ml EP管。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2" w:hRule="atLeast"/>
          <w:jc w:val="center"/>
        </w:trPr>
        <w:tc>
          <w:tcPr>
            <w:tcW w:w="103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序号2.基因扩增仪/PCR仪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基因扩增仪/PCR仪</w:t>
            </w:r>
            <w:r>
              <w:rPr>
                <w:rFonts w:hint="eastAsia" w:ascii="宋体" w:hAnsi="宋体" w:cs="宋体"/>
                <w:color w:val="auto"/>
                <w:kern w:val="0"/>
                <w:szCs w:val="21"/>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用于高效PCR、等温核酸扩增、酶切与连接反应等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DNA合成及扩增</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1、温度范围4℃-105℃</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2、温度均匀性≤±0.2℃</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3、温控精度≤±0.1℃</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4、样本台容量：96孔*0.2ml、96孔全裙板、半裙板、无裙板通用、12*8联管</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5、自动暂停功能</w:t>
            </w:r>
          </w:p>
          <w:p>
            <w:pPr>
              <w:pStyle w:val="28"/>
              <w:numPr>
                <w:ilvl w:val="0"/>
                <w:numId w:val="0"/>
              </w:numPr>
              <w:spacing w:line="240" w:lineRule="auto"/>
              <w:jc w:val="left"/>
              <w:rPr>
                <w:rFonts w:hint="default"/>
                <w:lang w:val="en-US" w:eastAsia="zh-CN"/>
              </w:rPr>
            </w:pPr>
            <w:r>
              <w:rPr>
                <w:rFonts w:hint="eastAsia" w:ascii="宋体" w:hAnsi="宋体" w:eastAsia="宋体" w:cs="宋体"/>
                <w:color w:val="auto"/>
                <w:kern w:val="0"/>
                <w:sz w:val="21"/>
                <w:szCs w:val="21"/>
                <w:lang w:val="en-US" w:eastAsia="zh-CN" w:bidi="ar-SA"/>
              </w:rPr>
              <w:t>6、断电保护功能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序号3.荧光定量仪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荧光定量仪</w:t>
            </w:r>
            <w:r>
              <w:rPr>
                <w:rFonts w:hint="eastAsia" w:ascii="宋体" w:hAnsi="宋体" w:cs="宋体"/>
                <w:color w:val="auto"/>
                <w:kern w:val="0"/>
                <w:szCs w:val="21"/>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default" w:ascii="宋体" w:hAnsi="宋体" w:eastAsia="宋体" w:cs="宋体"/>
                <w:b w:val="0"/>
                <w:bCs w:val="0"/>
                <w:color w:val="auto"/>
                <w:kern w:val="0"/>
                <w:sz w:val="21"/>
                <w:szCs w:val="21"/>
                <w:lang w:val="en-US" w:eastAsia="zh-CN" w:bidi="ar-SA"/>
              </w:rPr>
              <w:t>快速、准确、灵敏、特异性</w:t>
            </w:r>
            <w:r>
              <w:rPr>
                <w:rFonts w:hint="eastAsia" w:ascii="宋体" w:hAnsi="宋体" w:eastAsia="宋体" w:cs="宋体"/>
                <w:b w:val="0"/>
                <w:bCs w:val="0"/>
                <w:color w:val="auto"/>
                <w:kern w:val="0"/>
                <w:sz w:val="21"/>
                <w:szCs w:val="21"/>
                <w:lang w:val="en-US" w:eastAsia="zh-CN" w:bidi="ar-SA"/>
              </w:rPr>
              <w:t>的定量 DNA、RNA、蛋白质等浓度</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b w:val="0"/>
                <w:bCs w:val="0"/>
                <w:color w:val="auto"/>
                <w:kern w:val="0"/>
                <w:sz w:val="21"/>
                <w:szCs w:val="21"/>
                <w:lang w:val="en-US" w:eastAsia="zh-CN" w:bidi="ar-SA"/>
              </w:rPr>
              <w:t>DNA、RNA、蛋白质定量检测</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1、测量结果准确、精准、灵敏，流程快速而简单。</w:t>
            </w:r>
          </w:p>
          <w:p>
            <w:pPr>
              <w:pStyle w:val="28"/>
              <w:numPr>
                <w:ilvl w:val="0"/>
                <w:numId w:val="0"/>
              </w:numPr>
              <w:spacing w:line="240" w:lineRule="auto"/>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2、适用于实时定量PCR（qPCR）或二代测序法（NGS）等需要精密测定的实验。</w:t>
            </w:r>
          </w:p>
          <w:p>
            <w:pPr>
              <w:bidi w:val="0"/>
              <w:spacing w:line="240" w:lineRule="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3、动态范围：5个数量级。</w:t>
            </w:r>
          </w:p>
          <w:p>
            <w:pPr>
              <w:bidi w:val="0"/>
              <w:spacing w:line="240" w:lineRule="auto"/>
              <w:rPr>
                <w:rFonts w:hint="default"/>
                <w:lang w:val="en-US" w:eastAsia="zh-CN"/>
              </w:rPr>
            </w:pPr>
            <w:r>
              <w:rPr>
                <w:rFonts w:hint="eastAsia" w:ascii="宋体" w:hAnsi="宋体" w:eastAsia="宋体" w:cs="宋体"/>
                <w:b w:val="0"/>
                <w:bCs w:val="0"/>
                <w:color w:val="auto"/>
                <w:kern w:val="0"/>
                <w:sz w:val="21"/>
                <w:szCs w:val="21"/>
                <w:lang w:val="en-US" w:eastAsia="zh-CN" w:bidi="ar-SA"/>
              </w:rPr>
              <w:t>4、处理时间：≤5秒/每个样品。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序号4.生物分析仪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生物分析仪</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RNA样品质量控制、DNA分子量确定和定量分析、蛋白分析、芯片流式细胞分析</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NGS测序前的样品、文库质量控制</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1、DNA电泳时可以准确判断杂峰等现象，同时对弥散的DNA条带进行范围鉴定。</w:t>
            </w:r>
          </w:p>
          <w:p>
            <w:pPr>
              <w:pStyle w:val="28"/>
              <w:numPr>
                <w:ilvl w:val="0"/>
                <w:numId w:val="0"/>
              </w:numPr>
              <w:spacing w:line="240" w:lineRule="auto"/>
              <w:jc w:val="left"/>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2、速度快，30分钟完成10-12个样品的分析。</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3、样品消耗少，DNA≤1ul。</w:t>
            </w:r>
          </w:p>
          <w:p>
            <w:pPr>
              <w:bidi w:val="0"/>
              <w:spacing w:line="240" w:lineRule="auto"/>
              <w:rPr>
                <w:rFonts w:hint="default"/>
                <w:lang w:val="en-US" w:eastAsia="zh-CN"/>
              </w:rPr>
            </w:pPr>
            <w:r>
              <w:rPr>
                <w:rFonts w:hint="eastAsia" w:ascii="宋体" w:hAnsi="宋体" w:eastAsia="宋体" w:cs="宋体"/>
                <w:color w:val="auto"/>
                <w:kern w:val="0"/>
                <w:sz w:val="21"/>
                <w:szCs w:val="21"/>
                <w:lang w:val="en-US" w:eastAsia="zh-CN" w:bidi="ar-SA"/>
              </w:rPr>
              <w:t>4、灵敏度高，DNA≤1ng/ul。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序号5.真空浓缩仪</w:t>
      </w:r>
    </w:p>
    <w:tbl>
      <w:tblPr>
        <w:tblStyle w:val="23"/>
        <w:tblW w:w="10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8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93"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真空浓缩仪</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208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9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6" w:hRule="atLeast"/>
          <w:jc w:val="center"/>
        </w:trPr>
        <w:tc>
          <w:tcPr>
            <w:tcW w:w="1088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快速、有效地真空浓缩DNA/RNA、寡核苷酸、蛋白质和其它液体样品</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NGS建库过程中DNA样品的浓缩</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1.耐化学腐蚀，免维护的 PTFE 涂层隔膜泵，无需添加泵油</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2.不锈钢加热腔体</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3.标准配置48*1.5ml 转子</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 </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4.噪音不高于50 dB(A)</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5.可选 3 种操作模式（真空浓缩、离心、干燥），满足多种应用需求</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6.可选预设温度</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至少包含室温、30</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、45</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和60</w:t>
            </w:r>
            <w:r>
              <w:rPr>
                <w:rFonts w:hint="eastAsia" w:ascii="宋体" w:hAnsi="宋体" w:cs="宋体"/>
                <w:color w:val="auto"/>
                <w:kern w:val="0"/>
                <w:sz w:val="21"/>
                <w:szCs w:val="21"/>
                <w:lang w:val="en-US" w:eastAsia="zh-CN" w:bidi="ar-SA"/>
              </w:rPr>
              <w:t>℃ 4</w:t>
            </w:r>
            <w:r>
              <w:rPr>
                <w:rFonts w:hint="eastAsia" w:ascii="宋体" w:hAnsi="宋体" w:eastAsia="宋体" w:cs="宋体"/>
                <w:color w:val="auto"/>
                <w:kern w:val="0"/>
                <w:sz w:val="21"/>
                <w:szCs w:val="21"/>
                <w:lang w:val="en-US" w:eastAsia="zh-CN" w:bidi="ar-SA"/>
              </w:rPr>
              <w:t>个温度</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 </w:t>
            </w:r>
          </w:p>
          <w:p>
            <w:pPr>
              <w:pStyle w:val="28"/>
              <w:numPr>
                <w:ilvl w:val="0"/>
                <w:numId w:val="0"/>
              </w:numPr>
              <w:spacing w:line="240" w:lineRule="auto"/>
              <w:jc w:val="left"/>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7.可选应用模式，至少包含水溶液、乙醇和高蒸汽压三种模式</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8.具备软刹车功能，防止样品重悬</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 </w:t>
            </w:r>
          </w:p>
          <w:p>
            <w:pPr>
              <w:bidi w:val="0"/>
              <w:spacing w:line="240" w:lineRule="auto"/>
              <w:rPr>
                <w:rFonts w:hint="default"/>
                <w:lang w:val="en-US" w:eastAsia="zh-CN"/>
              </w:rPr>
            </w:pPr>
            <w:r>
              <w:rPr>
                <w:rFonts w:hint="eastAsia" w:ascii="宋体" w:hAnsi="宋体" w:eastAsia="宋体" w:cs="宋体"/>
                <w:color w:val="auto"/>
                <w:kern w:val="0"/>
                <w:sz w:val="21"/>
                <w:szCs w:val="21"/>
                <w:lang w:val="en-US" w:eastAsia="zh-CN" w:bidi="ar-SA"/>
              </w:rPr>
              <w:t>9.全套系统（带真空接口），允许外连设备使用系统整合的真空泵，将需要抽真空的设备（如干胶仪）连接到真空接口上即可。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2" w:hRule="atLeast"/>
          <w:jc w:val="center"/>
        </w:trPr>
        <w:tc>
          <w:tcPr>
            <w:tcW w:w="108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★（星号）条款代表购买此产品必须具有的功能、技术、配置等要求。</w:t>
      </w:r>
    </w:p>
    <w:p>
      <w:pPr>
        <w:pStyle w:val="1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0"/>
          <w:sz w:val="21"/>
          <w:szCs w:val="21"/>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序号6.高通量基因测序仪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高通量基因测序仪</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vertAlign w:val="baseline"/>
                <w:lang w:val="en-US" w:eastAsia="zh-CN"/>
              </w:rPr>
              <w:t>产品功能描述：</w:t>
            </w:r>
            <w:r>
              <w:rPr>
                <w:rFonts w:hint="eastAsia" w:ascii="宋体" w:hAnsi="宋体" w:eastAsia="宋体" w:cs="宋体"/>
                <w:color w:val="auto"/>
                <w:kern w:val="0"/>
                <w:sz w:val="21"/>
                <w:szCs w:val="21"/>
                <w:lang w:val="en-US" w:eastAsia="zh-CN" w:bidi="ar-SA"/>
              </w:rPr>
              <w:t>可用于全基因组测序、外显子组测序、转录组测序及单细胞测序等的高通量基因测序仪</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NGS测序</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1、Illumina测序平台。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2、输出范围16-120Gb，最大读长2×150bp。</w:t>
            </w:r>
          </w:p>
          <w:p>
            <w:pPr>
              <w:bidi w:val="0"/>
              <w:spacing w:line="240" w:lineRule="auto"/>
              <w:rPr>
                <w:rFonts w:hint="default"/>
                <w:lang w:val="en-US" w:eastAsia="zh-CN"/>
              </w:rPr>
            </w:pPr>
            <w:r>
              <w:rPr>
                <w:rFonts w:hint="eastAsia" w:ascii="宋体" w:hAnsi="宋体" w:eastAsia="宋体" w:cs="宋体"/>
                <w:color w:val="auto"/>
                <w:kern w:val="0"/>
                <w:sz w:val="21"/>
                <w:szCs w:val="21"/>
                <w:lang w:val="en-US" w:eastAsia="zh-CN" w:bidi="ar-SA"/>
              </w:rPr>
              <w:t>3、支持高／中通量模式。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序号7.测序数据处理系统</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测序数据处理系统</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vertAlign w:val="baseline"/>
                <w:lang w:val="en-US" w:eastAsia="zh-CN"/>
              </w:rPr>
              <w:t>产品功能描述：</w:t>
            </w:r>
            <w:r>
              <w:rPr>
                <w:rFonts w:hint="eastAsia" w:ascii="宋体" w:hAnsi="宋体" w:cs="宋体"/>
                <w:color w:val="auto"/>
                <w:kern w:val="0"/>
                <w:sz w:val="21"/>
                <w:szCs w:val="21"/>
                <w:lang w:val="en-US" w:eastAsia="zh-CN" w:bidi="ar-SA"/>
              </w:rPr>
              <w:t>NGS测序数据质控、存储、传输及分析</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cs="宋体"/>
                <w:color w:val="auto"/>
                <w:kern w:val="0"/>
                <w:sz w:val="21"/>
                <w:szCs w:val="21"/>
                <w:lang w:val="en-US" w:eastAsia="zh-CN" w:bidi="ar-SA"/>
              </w:rPr>
              <w:t>NGS测序数据处理</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1、配置</w:t>
            </w:r>
            <w:r>
              <w:rPr>
                <w:rFonts w:hint="eastAsia" w:ascii="宋体" w:hAnsi="宋体" w:eastAsia="宋体" w:cs="宋体"/>
                <w:color w:val="auto"/>
                <w:kern w:val="0"/>
                <w:sz w:val="21"/>
                <w:szCs w:val="21"/>
                <w:lang w:val="en-US" w:eastAsia="zh-CN" w:bidi="ar-SA"/>
              </w:rPr>
              <w:t>包括： 全千兆以太网交换机</w:t>
            </w:r>
          </w:p>
          <w:p>
            <w:pPr>
              <w:pStyle w:val="28"/>
              <w:numPr>
                <w:ilvl w:val="0"/>
                <w:numId w:val="0"/>
              </w:numPr>
              <w:spacing w:line="240" w:lineRule="auto"/>
              <w:ind w:firstLine="1470" w:firstLineChars="7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深信服一体化安全网关路由器/VPN</w:t>
            </w:r>
          </w:p>
          <w:p>
            <w:pPr>
              <w:pStyle w:val="28"/>
              <w:numPr>
                <w:ilvl w:val="0"/>
                <w:numId w:val="0"/>
              </w:numPr>
              <w:spacing w:line="240" w:lineRule="auto"/>
              <w:ind w:firstLine="1470" w:firstLineChars="7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服务器</w:t>
            </w:r>
          </w:p>
          <w:p>
            <w:pPr>
              <w:pStyle w:val="28"/>
              <w:numPr>
                <w:ilvl w:val="0"/>
                <w:numId w:val="0"/>
              </w:numPr>
              <w:spacing w:line="240" w:lineRule="auto"/>
              <w:ind w:firstLine="1470" w:firstLineChars="7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不间断电源/UPS</w:t>
            </w:r>
            <w:r>
              <w:rPr>
                <w:rFonts w:hint="eastAsia" w:ascii="宋体" w:hAnsi="宋体" w:cs="宋体"/>
                <w:color w:val="auto"/>
                <w:kern w:val="0"/>
                <w:sz w:val="21"/>
                <w:szCs w:val="21"/>
                <w:lang w:val="en-US" w:eastAsia="zh-CN" w:bidi="ar-SA"/>
              </w:rPr>
              <w:t>等。</w:t>
            </w:r>
          </w:p>
          <w:p>
            <w:pPr>
              <w:bidi w:val="0"/>
              <w:spacing w:line="240" w:lineRule="auto"/>
              <w:rPr>
                <w:rFonts w:hint="default"/>
                <w:lang w:val="en-US" w:eastAsia="zh-CN"/>
              </w:rPr>
            </w:pPr>
            <w:r>
              <w:rPr>
                <w:rFonts w:hint="eastAsia" w:ascii="宋体" w:hAnsi="宋体" w:cs="宋体"/>
                <w:color w:val="auto"/>
                <w:kern w:val="0"/>
                <w:sz w:val="21"/>
                <w:szCs w:val="21"/>
                <w:lang w:val="en-US" w:eastAsia="zh-CN" w:bidi="ar-SA"/>
              </w:rPr>
              <w:t>2、配备相应软件。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8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07"/>
        <w:gridCol w:w="1322"/>
        <w:gridCol w:w="986"/>
        <w:gridCol w:w="1315"/>
        <w:gridCol w:w="1315"/>
        <w:gridCol w:w="13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10" w:hRule="atLeast"/>
        </w:trPr>
        <w:tc>
          <w:tcPr>
            <w:tcW w:w="7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30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32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9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315"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315"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315"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307" w:type="dxa"/>
            <w:vAlign w:val="center"/>
          </w:tcPr>
          <w:p>
            <w:pPr>
              <w:pStyle w:val="12"/>
              <w:snapToGrid w:val="0"/>
              <w:spacing w:line="360" w:lineRule="auto"/>
              <w:jc w:val="center"/>
              <w:rPr>
                <w:rFonts w:hAnsi="宋体" w:cs="宋体"/>
                <w:color w:val="auto"/>
                <w:szCs w:val="24"/>
                <w:highlight w:val="none"/>
              </w:rPr>
            </w:pPr>
          </w:p>
        </w:tc>
        <w:tc>
          <w:tcPr>
            <w:tcW w:w="1322" w:type="dxa"/>
            <w:vAlign w:val="center"/>
          </w:tcPr>
          <w:p>
            <w:pPr>
              <w:pStyle w:val="12"/>
              <w:snapToGrid w:val="0"/>
              <w:spacing w:line="360" w:lineRule="auto"/>
              <w:jc w:val="center"/>
              <w:rPr>
                <w:rFonts w:hAnsi="宋体" w:cs="宋体"/>
                <w:color w:val="auto"/>
                <w:szCs w:val="24"/>
                <w:highlight w:val="none"/>
              </w:rPr>
            </w:pPr>
          </w:p>
        </w:tc>
        <w:tc>
          <w:tcPr>
            <w:tcW w:w="986"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307" w:type="dxa"/>
            <w:vAlign w:val="center"/>
          </w:tcPr>
          <w:p>
            <w:pPr>
              <w:pStyle w:val="12"/>
              <w:snapToGrid w:val="0"/>
              <w:spacing w:line="360" w:lineRule="auto"/>
              <w:jc w:val="center"/>
              <w:rPr>
                <w:rFonts w:hAnsi="宋体" w:cs="宋体"/>
                <w:color w:val="auto"/>
                <w:szCs w:val="24"/>
                <w:highlight w:val="none"/>
              </w:rPr>
            </w:pPr>
          </w:p>
        </w:tc>
        <w:tc>
          <w:tcPr>
            <w:tcW w:w="1322" w:type="dxa"/>
            <w:vAlign w:val="center"/>
          </w:tcPr>
          <w:p>
            <w:pPr>
              <w:pStyle w:val="12"/>
              <w:snapToGrid w:val="0"/>
              <w:spacing w:line="360" w:lineRule="auto"/>
              <w:jc w:val="center"/>
              <w:rPr>
                <w:rFonts w:hAnsi="宋体" w:cs="宋体"/>
                <w:color w:val="auto"/>
                <w:szCs w:val="24"/>
                <w:highlight w:val="none"/>
              </w:rPr>
            </w:pPr>
          </w:p>
        </w:tc>
        <w:tc>
          <w:tcPr>
            <w:tcW w:w="986"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307" w:type="dxa"/>
            <w:vAlign w:val="center"/>
          </w:tcPr>
          <w:p>
            <w:pPr>
              <w:pStyle w:val="12"/>
              <w:snapToGrid w:val="0"/>
              <w:spacing w:line="360" w:lineRule="auto"/>
              <w:jc w:val="center"/>
              <w:rPr>
                <w:rFonts w:hAnsi="宋体" w:cs="宋体"/>
                <w:color w:val="auto"/>
                <w:szCs w:val="24"/>
                <w:highlight w:val="none"/>
              </w:rPr>
            </w:pPr>
          </w:p>
        </w:tc>
        <w:tc>
          <w:tcPr>
            <w:tcW w:w="1322" w:type="dxa"/>
            <w:vAlign w:val="center"/>
          </w:tcPr>
          <w:p>
            <w:pPr>
              <w:pStyle w:val="12"/>
              <w:snapToGrid w:val="0"/>
              <w:spacing w:line="360" w:lineRule="auto"/>
              <w:jc w:val="center"/>
              <w:rPr>
                <w:rFonts w:hAnsi="宋体" w:cs="宋体"/>
                <w:color w:val="auto"/>
                <w:szCs w:val="24"/>
                <w:highlight w:val="none"/>
              </w:rPr>
            </w:pPr>
          </w:p>
        </w:tc>
        <w:tc>
          <w:tcPr>
            <w:tcW w:w="986"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307" w:type="dxa"/>
            <w:vAlign w:val="center"/>
          </w:tcPr>
          <w:p>
            <w:pPr>
              <w:pStyle w:val="12"/>
              <w:snapToGrid w:val="0"/>
              <w:spacing w:line="360" w:lineRule="auto"/>
              <w:jc w:val="center"/>
              <w:rPr>
                <w:rFonts w:hAnsi="宋体" w:cs="宋体"/>
                <w:color w:val="auto"/>
                <w:szCs w:val="24"/>
                <w:highlight w:val="none"/>
              </w:rPr>
            </w:pPr>
          </w:p>
        </w:tc>
        <w:tc>
          <w:tcPr>
            <w:tcW w:w="1322" w:type="dxa"/>
            <w:vAlign w:val="center"/>
          </w:tcPr>
          <w:p>
            <w:pPr>
              <w:pStyle w:val="12"/>
              <w:snapToGrid w:val="0"/>
              <w:spacing w:line="360" w:lineRule="auto"/>
              <w:jc w:val="center"/>
              <w:rPr>
                <w:rFonts w:hAnsi="宋体" w:cs="宋体"/>
                <w:color w:val="auto"/>
                <w:szCs w:val="24"/>
                <w:highlight w:val="none"/>
              </w:rPr>
            </w:pPr>
          </w:p>
        </w:tc>
        <w:tc>
          <w:tcPr>
            <w:tcW w:w="986"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307" w:type="dxa"/>
            <w:vAlign w:val="center"/>
          </w:tcPr>
          <w:p>
            <w:pPr>
              <w:pStyle w:val="12"/>
              <w:snapToGrid w:val="0"/>
              <w:spacing w:line="360" w:lineRule="auto"/>
              <w:jc w:val="center"/>
              <w:rPr>
                <w:rFonts w:hAnsi="宋体" w:cs="宋体"/>
                <w:color w:val="auto"/>
                <w:szCs w:val="24"/>
                <w:highlight w:val="none"/>
              </w:rPr>
            </w:pPr>
          </w:p>
        </w:tc>
        <w:tc>
          <w:tcPr>
            <w:tcW w:w="1322" w:type="dxa"/>
            <w:vAlign w:val="center"/>
          </w:tcPr>
          <w:p>
            <w:pPr>
              <w:pStyle w:val="12"/>
              <w:snapToGrid w:val="0"/>
              <w:spacing w:line="360" w:lineRule="auto"/>
              <w:jc w:val="center"/>
              <w:rPr>
                <w:rFonts w:hAnsi="宋体" w:cs="宋体"/>
                <w:color w:val="auto"/>
                <w:szCs w:val="24"/>
                <w:highlight w:val="none"/>
              </w:rPr>
            </w:pPr>
          </w:p>
        </w:tc>
        <w:tc>
          <w:tcPr>
            <w:tcW w:w="986"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86"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307" w:type="dxa"/>
            <w:vAlign w:val="center"/>
          </w:tcPr>
          <w:p>
            <w:pPr>
              <w:pStyle w:val="12"/>
              <w:snapToGrid w:val="0"/>
              <w:spacing w:line="360" w:lineRule="auto"/>
              <w:jc w:val="center"/>
              <w:rPr>
                <w:rFonts w:hAnsi="宋体" w:cs="宋体"/>
                <w:color w:val="auto"/>
                <w:szCs w:val="24"/>
                <w:highlight w:val="none"/>
              </w:rPr>
            </w:pPr>
          </w:p>
        </w:tc>
        <w:tc>
          <w:tcPr>
            <w:tcW w:w="1322" w:type="dxa"/>
            <w:vAlign w:val="center"/>
          </w:tcPr>
          <w:p>
            <w:pPr>
              <w:pStyle w:val="12"/>
              <w:snapToGrid w:val="0"/>
              <w:spacing w:line="360" w:lineRule="auto"/>
              <w:jc w:val="center"/>
              <w:rPr>
                <w:rFonts w:hAnsi="宋体" w:cs="宋体"/>
                <w:color w:val="auto"/>
                <w:szCs w:val="24"/>
                <w:highlight w:val="none"/>
              </w:rPr>
            </w:pPr>
          </w:p>
        </w:tc>
        <w:tc>
          <w:tcPr>
            <w:tcW w:w="986"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c>
          <w:tcPr>
            <w:tcW w:w="1315"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针对吉林大学第一医院采购项目（项目编号：</w:t>
      </w:r>
      <w:r>
        <w:rPr>
          <w:rFonts w:hint="eastAsia" w:ascii="宋体" w:hAnsi="宋体" w:eastAsia="宋体" w:cs="宋体"/>
          <w:b w:val="0"/>
          <w:bCs w:val="0"/>
          <w:color w:val="FF0000"/>
          <w:sz w:val="24"/>
          <w:szCs w:val="24"/>
          <w:lang w:val="en-US" w:eastAsia="zh-CN"/>
        </w:rPr>
        <w:t>需填写</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FF0000"/>
          <w:sz w:val="24"/>
          <w:szCs w:val="24"/>
          <w:lang w:val="en-US" w:eastAsia="zh-CN"/>
        </w:rPr>
        <w:t>XXXX公司（填写投标公司）</w:t>
      </w:r>
      <w:r>
        <w:rPr>
          <w:rFonts w:hint="eastAsia" w:ascii="宋体" w:hAnsi="宋体" w:eastAsia="宋体" w:cs="宋体"/>
          <w:b w:val="0"/>
          <w:bCs w:val="0"/>
          <w:sz w:val="24"/>
          <w:szCs w:val="24"/>
          <w:lang w:val="en-US" w:eastAsia="zh-CN"/>
        </w:rPr>
        <w:t>所提供的货物，我方作为生产厂家，现就该货物的</w:t>
      </w:r>
      <w:r>
        <w:rPr>
          <w:rFonts w:hint="eastAsia" w:ascii="宋体" w:hAnsi="宋体" w:eastAsia="宋体" w:cs="宋体"/>
          <w:b w:val="0"/>
          <w:bCs w:val="0"/>
          <w:sz w:val="24"/>
          <w:szCs w:val="24"/>
          <w:lang w:eastAsia="zh-CN"/>
        </w:rPr>
        <w:t>售后服务</w:t>
      </w:r>
      <w:r>
        <w:rPr>
          <w:rFonts w:hint="eastAsia" w:ascii="宋体" w:hAnsi="宋体" w:eastAsia="宋体" w:cs="宋体"/>
          <w:b w:val="0"/>
          <w:bCs w:val="0"/>
          <w:sz w:val="24"/>
          <w:szCs w:val="24"/>
          <w:lang w:val="en-US" w:eastAsia="zh-CN"/>
        </w:rPr>
        <w:t>事项，与供货方联合作出以下郑重承诺：</w:t>
      </w:r>
    </w:p>
    <w:p>
      <w:pPr>
        <w:pStyle w:val="28"/>
        <w:numPr>
          <w:ilvl w:val="0"/>
          <w:numId w:val="4"/>
        </w:numPr>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lang w:val="en-US" w:eastAsia="zh-CN" w:bidi="ar-SA"/>
        </w:rPr>
        <w:t>需投标方填写）</w:t>
      </w:r>
      <w:r>
        <w:rPr>
          <w:rFonts w:hint="eastAsia" w:ascii="宋体" w:hAnsi="宋体" w:eastAsia="宋体" w:cs="宋体"/>
          <w:b w:val="0"/>
          <w:bCs w:val="0"/>
          <w:kern w:val="2"/>
          <w:sz w:val="24"/>
          <w:szCs w:val="24"/>
          <w:lang w:val="en-US" w:eastAsia="zh-CN" w:bidi="ar-SA"/>
        </w:rPr>
        <w:t>年，</w:t>
      </w:r>
      <w:r>
        <w:rPr>
          <w:rFonts w:hint="eastAsia" w:ascii="宋体" w:hAnsi="宋体" w:eastAsia="宋体" w:cs="宋体"/>
          <w:b w:val="0"/>
          <w:bCs w:val="0"/>
          <w:kern w:val="2"/>
          <w:sz w:val="24"/>
          <w:szCs w:val="24"/>
          <w:lang w:eastAsia="zh-CN" w:bidi="ar-SA"/>
        </w:rPr>
        <w:t>出保后如需续保，每年每套（全保修）价格</w:t>
      </w:r>
      <w:r>
        <w:rPr>
          <w:rFonts w:hint="eastAsia" w:ascii="宋体" w:hAnsi="宋体" w:eastAsia="宋体" w:cs="宋体"/>
          <w:b w:val="0"/>
          <w:bCs w:val="0"/>
          <w:color w:val="FF0000"/>
          <w:kern w:val="2"/>
          <w:sz w:val="24"/>
          <w:szCs w:val="24"/>
          <w:lang w:eastAsia="zh-CN" w:bidi="ar-SA"/>
        </w:rPr>
        <w:t>为</w:t>
      </w:r>
      <w:r>
        <w:rPr>
          <w:rFonts w:hint="eastAsia" w:ascii="宋体" w:hAnsi="宋体" w:eastAsia="宋体" w:cs="宋体"/>
          <w:b w:val="0"/>
          <w:bCs w:val="0"/>
          <w:color w:val="FF0000"/>
          <w:kern w:val="2"/>
          <w:sz w:val="24"/>
          <w:szCs w:val="24"/>
          <w:lang w:val="en-US" w:eastAsia="zh-CN" w:bidi="ar-SA"/>
        </w:rPr>
        <w:t>成交价格的（）%</w:t>
      </w:r>
      <w:r>
        <w:rPr>
          <w:rFonts w:hint="eastAsia" w:ascii="宋体" w:hAnsi="宋体" w:eastAsia="宋体" w:cs="宋体"/>
          <w:b w:val="0"/>
          <w:bCs w:val="0"/>
          <w:kern w:val="2"/>
          <w:sz w:val="24"/>
          <w:szCs w:val="24"/>
          <w:lang w:eastAsia="zh-CN" w:bidi="ar-SA"/>
        </w:rPr>
        <w:t>。</w:t>
      </w:r>
    </w:p>
    <w:p>
      <w:pPr>
        <w:pStyle w:val="28"/>
        <w:numPr>
          <w:ilvl w:val="0"/>
          <w:numId w:val="4"/>
        </w:numPr>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服务人员资质：配置的</w:t>
      </w:r>
      <w:r>
        <w:rPr>
          <w:rFonts w:hint="eastAsia" w:ascii="宋体" w:hAnsi="宋体" w:eastAsia="宋体" w:cs="宋体"/>
          <w:b w:val="0"/>
          <w:bCs w:val="0"/>
          <w:kern w:val="2"/>
          <w:sz w:val="24"/>
          <w:szCs w:val="24"/>
          <w:lang w:eastAsia="zh-CN" w:bidi="ar-SA"/>
        </w:rPr>
        <w:t>售后</w:t>
      </w:r>
      <w:r>
        <w:rPr>
          <w:rFonts w:hint="eastAsia" w:ascii="宋体" w:hAnsi="宋体" w:eastAsia="宋体" w:cs="宋体"/>
          <w:b w:val="0"/>
          <w:bCs w:val="0"/>
          <w:kern w:val="2"/>
          <w:sz w:val="24"/>
          <w:szCs w:val="24"/>
          <w:lang w:val="en-US" w:eastAsia="zh-CN" w:bidi="ar-SA"/>
        </w:rPr>
        <w:t>服务工程师为培训合格，取得设备生产厂家相关服务资格授权的人员，并提供相关资质资料；</w:t>
      </w:r>
    </w:p>
    <w:p>
      <w:pPr>
        <w:pStyle w:val="28"/>
        <w:numPr>
          <w:ilvl w:val="0"/>
          <w:numId w:val="4"/>
        </w:numPr>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零备件供应：所有更换的零配件均为</w:t>
      </w:r>
      <w:r>
        <w:rPr>
          <w:rFonts w:hint="eastAsia" w:ascii="宋体" w:hAnsi="宋体" w:eastAsia="宋体" w:cs="宋体"/>
          <w:b w:val="0"/>
          <w:bCs w:val="0"/>
          <w:kern w:val="2"/>
          <w:sz w:val="24"/>
          <w:szCs w:val="24"/>
          <w:lang w:eastAsia="zh-CN" w:bidi="ar-SA"/>
        </w:rPr>
        <w:t>设备厂家</w:t>
      </w:r>
      <w:r>
        <w:rPr>
          <w:rFonts w:hint="eastAsia" w:ascii="宋体" w:hAnsi="宋体" w:eastAsia="宋体" w:cs="宋体"/>
          <w:b w:val="0"/>
          <w:bCs w:val="0"/>
          <w:kern w:val="2"/>
          <w:sz w:val="24"/>
          <w:szCs w:val="24"/>
          <w:lang w:val="en-US" w:eastAsia="zh-CN" w:bidi="ar-SA"/>
        </w:rPr>
        <w:t>认证合格的、未经使用的零配件，且备品备件库保证设备10年以上使用；</w:t>
      </w:r>
    </w:p>
    <w:p>
      <w:pPr>
        <w:pStyle w:val="28"/>
        <w:numPr>
          <w:ilvl w:val="0"/>
          <w:numId w:val="4"/>
        </w:numPr>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响应时间要求：接到</w:t>
      </w:r>
      <w:r>
        <w:rPr>
          <w:rFonts w:hint="eastAsia" w:ascii="宋体" w:hAnsi="宋体" w:eastAsia="宋体" w:cs="宋体"/>
          <w:b w:val="0"/>
          <w:bCs w:val="0"/>
          <w:kern w:val="2"/>
          <w:sz w:val="24"/>
          <w:szCs w:val="24"/>
          <w:lang w:eastAsia="zh-CN" w:bidi="ar-SA"/>
        </w:rPr>
        <w:t>贵院</w:t>
      </w:r>
      <w:r>
        <w:rPr>
          <w:rFonts w:hint="eastAsia" w:ascii="宋体" w:hAnsi="宋体" w:eastAsia="宋体" w:cs="宋体"/>
          <w:b w:val="0"/>
          <w:bCs w:val="0"/>
          <w:kern w:val="2"/>
          <w:sz w:val="24"/>
          <w:szCs w:val="24"/>
          <w:lang w:val="en-US" w:eastAsia="zh-CN" w:bidi="ar-SA"/>
        </w:rPr>
        <w:t>维修电话后2小时内做应答处理，24小时内到现场服务排除故障；</w:t>
      </w:r>
    </w:p>
    <w:p>
      <w:pPr>
        <w:pStyle w:val="28"/>
        <w:numPr>
          <w:ilvl w:val="0"/>
          <w:numId w:val="4"/>
        </w:numPr>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保修期内服务时间：维修、维护工作时间包含周末和其他非标准工作时间，即365天×24小时服务；</w:t>
      </w:r>
    </w:p>
    <w:p>
      <w:pPr>
        <w:pStyle w:val="28"/>
        <w:numPr>
          <w:ilvl w:val="0"/>
          <w:numId w:val="4"/>
        </w:numPr>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维保清单：提供专业全面的设备维护保养清单，并由设备生产厂家盖章确认；</w:t>
      </w:r>
    </w:p>
    <w:p>
      <w:pPr>
        <w:pStyle w:val="28"/>
        <w:numPr>
          <w:ilvl w:val="0"/>
          <w:numId w:val="4"/>
        </w:numPr>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保养及质控：保修期内每年至少提供2次设备维护保养和1次设备质控，并提供保养服务报告和质控报告；</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kern w:val="2"/>
          <w:sz w:val="24"/>
          <w:szCs w:val="24"/>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lang w:val="en-US" w:eastAsia="zh-CN" w:bidi="ar-SA"/>
        </w:rPr>
        <w:t>报告；特殊故障时必须提交故障分析报告；</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设备校准：需校准的实验室设备，提供每年一次设备校准，</w:t>
      </w:r>
      <w:r>
        <w:rPr>
          <w:rFonts w:hint="eastAsia" w:ascii="宋体" w:hAnsi="宋体" w:eastAsia="宋体" w:cs="宋体"/>
          <w:b w:val="0"/>
          <w:bCs w:val="0"/>
          <w:color w:val="auto"/>
          <w:kern w:val="2"/>
          <w:sz w:val="24"/>
          <w:szCs w:val="24"/>
          <w:lang w:eastAsia="zh-CN" w:bidi="ar-SA"/>
        </w:rPr>
        <w:t>并且</w:t>
      </w:r>
      <w:r>
        <w:rPr>
          <w:rFonts w:hint="eastAsia" w:ascii="宋体" w:hAnsi="宋体" w:eastAsia="宋体" w:cs="宋体"/>
          <w:b w:val="0"/>
          <w:bCs w:val="0"/>
          <w:color w:val="auto"/>
          <w:kern w:val="2"/>
          <w:sz w:val="24"/>
          <w:szCs w:val="24"/>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lang w:eastAsia="zh-CN" w:bidi="ar-SA"/>
        </w:rPr>
        <w:t>也免费提供以上服务</w:t>
      </w:r>
      <w:r>
        <w:rPr>
          <w:rFonts w:hint="eastAsia" w:ascii="宋体" w:hAnsi="宋体" w:eastAsia="宋体" w:cs="宋体"/>
          <w:b w:val="0"/>
          <w:bCs w:val="0"/>
          <w:color w:val="auto"/>
          <w:kern w:val="2"/>
          <w:sz w:val="24"/>
          <w:szCs w:val="24"/>
          <w:lang w:val="en-US" w:eastAsia="zh-CN" w:bidi="ar-SA"/>
        </w:rPr>
        <w:t>；</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培训：免费提供设备使用中必要的培训及指导，直至</w:t>
      </w:r>
      <w:r>
        <w:rPr>
          <w:rFonts w:hint="eastAsia" w:ascii="宋体" w:hAnsi="宋体" w:cs="宋体"/>
          <w:b w:val="0"/>
          <w:bCs w:val="0"/>
          <w:color w:val="auto"/>
          <w:kern w:val="2"/>
          <w:sz w:val="24"/>
          <w:szCs w:val="24"/>
          <w:lang w:val="en-US" w:eastAsia="zh-CN" w:bidi="ar-SA"/>
        </w:rPr>
        <w:t>贵院</w:t>
      </w:r>
      <w:r>
        <w:rPr>
          <w:rFonts w:hint="eastAsia" w:ascii="宋体" w:hAnsi="宋体" w:eastAsia="宋体" w:cs="宋体"/>
          <w:b w:val="0"/>
          <w:bCs w:val="0"/>
          <w:color w:val="auto"/>
          <w:kern w:val="2"/>
          <w:sz w:val="24"/>
          <w:szCs w:val="24"/>
          <w:lang w:val="en-US" w:eastAsia="zh-CN" w:bidi="ar-SA"/>
        </w:rPr>
        <w:t>使用人员及医学工程师能够正确了解使用本设备；</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资料提供：提供设备使用维护手册、维修手册、软件备份、故障代码表、维修密码等维护维修必需的材料和信息；</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系统升级：提供原厂系统免费软件升级；</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lang w:eastAsia="zh-CN" w:bidi="ar-SA"/>
        </w:rPr>
        <w:t>且</w:t>
      </w:r>
      <w:r>
        <w:rPr>
          <w:rFonts w:hint="eastAsia" w:ascii="宋体" w:hAnsi="宋体" w:eastAsia="宋体" w:cs="宋体"/>
          <w:b w:val="0"/>
          <w:bCs w:val="0"/>
          <w:color w:val="auto"/>
          <w:kern w:val="2"/>
          <w:sz w:val="24"/>
          <w:szCs w:val="24"/>
          <w:lang w:val="en-US" w:eastAsia="zh-CN" w:bidi="ar-SA"/>
        </w:rPr>
        <w:t>提供</w:t>
      </w:r>
      <w:r>
        <w:rPr>
          <w:rFonts w:hint="eastAsia" w:ascii="宋体" w:hAnsi="宋体" w:eastAsia="宋体" w:cs="宋体"/>
          <w:b w:val="0"/>
          <w:bCs w:val="0"/>
          <w:color w:val="auto"/>
          <w:kern w:val="2"/>
          <w:sz w:val="24"/>
          <w:szCs w:val="24"/>
          <w:lang w:eastAsia="zh-CN" w:bidi="ar-SA"/>
        </w:rPr>
        <w:t>的</w:t>
      </w:r>
      <w:r>
        <w:rPr>
          <w:rFonts w:hint="eastAsia" w:ascii="宋体" w:hAnsi="宋体" w:eastAsia="宋体" w:cs="宋体"/>
          <w:b w:val="0"/>
          <w:bCs w:val="0"/>
          <w:color w:val="auto"/>
          <w:kern w:val="2"/>
          <w:sz w:val="24"/>
          <w:szCs w:val="24"/>
          <w:lang w:val="en-US" w:eastAsia="zh-CN" w:bidi="ar-SA"/>
        </w:rPr>
        <w:t>伴随服务工程师</w:t>
      </w:r>
      <w:r>
        <w:rPr>
          <w:rFonts w:hint="eastAsia" w:ascii="宋体" w:hAnsi="宋体" w:eastAsia="宋体" w:cs="宋体"/>
          <w:b w:val="0"/>
          <w:bCs w:val="0"/>
          <w:color w:val="auto"/>
          <w:kern w:val="2"/>
          <w:sz w:val="24"/>
          <w:szCs w:val="24"/>
          <w:lang w:eastAsia="zh-CN" w:bidi="ar-SA"/>
        </w:rPr>
        <w:t>具</w:t>
      </w:r>
      <w:r>
        <w:rPr>
          <w:rFonts w:hint="eastAsia" w:ascii="宋体" w:hAnsi="宋体" w:eastAsia="宋体" w:cs="宋体"/>
          <w:b w:val="0"/>
          <w:bCs w:val="0"/>
          <w:color w:val="auto"/>
          <w:kern w:val="2"/>
          <w:sz w:val="24"/>
          <w:szCs w:val="24"/>
          <w:lang w:val="en-US" w:eastAsia="zh-CN" w:bidi="ar-SA"/>
        </w:rPr>
        <w:t>有临床相关专业经验和相应资质；</w:t>
      </w:r>
    </w:p>
    <w:p>
      <w:pPr>
        <w:pStyle w:val="28"/>
        <w:numPr>
          <w:ilvl w:val="0"/>
          <w:numId w:val="4"/>
        </w:numPr>
        <w:ind w:left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若投标人</w:t>
      </w:r>
      <w:r>
        <w:rPr>
          <w:rFonts w:hint="eastAsia" w:ascii="宋体" w:hAnsi="宋体" w:eastAsia="宋体" w:cs="宋体"/>
          <w:b w:val="0"/>
          <w:bCs w:val="0"/>
          <w:color w:val="auto"/>
          <w:kern w:val="2"/>
          <w:sz w:val="24"/>
          <w:szCs w:val="24"/>
          <w:lang w:eastAsia="zh-CN" w:bidi="ar-SA"/>
        </w:rPr>
        <w:t>即</w:t>
      </w:r>
      <w:r>
        <w:rPr>
          <w:rFonts w:hint="eastAsia" w:ascii="宋体" w:hAnsi="宋体" w:cs="宋体"/>
          <w:b w:val="0"/>
          <w:bCs w:val="0"/>
          <w:color w:val="auto"/>
          <w:kern w:val="2"/>
          <w:sz w:val="24"/>
          <w:szCs w:val="24"/>
          <w:lang w:val="en-US" w:eastAsia="zh-CN" w:bidi="ar-SA"/>
        </w:rPr>
        <w:t>供应商</w:t>
      </w:r>
      <w:r>
        <w:rPr>
          <w:rFonts w:hint="eastAsia" w:ascii="宋体" w:hAnsi="宋体" w:eastAsia="宋体" w:cs="宋体"/>
          <w:b w:val="0"/>
          <w:bCs w:val="0"/>
          <w:color w:val="auto"/>
          <w:kern w:val="2"/>
          <w:sz w:val="24"/>
          <w:szCs w:val="24"/>
          <w:lang w:eastAsia="zh-CN" w:bidi="ar-SA"/>
        </w:rPr>
        <w:t>在设备保修期内</w:t>
      </w:r>
      <w:r>
        <w:rPr>
          <w:rFonts w:hint="eastAsia" w:ascii="宋体" w:hAnsi="宋体" w:eastAsia="宋体" w:cs="宋体"/>
          <w:b w:val="0"/>
          <w:bCs w:val="0"/>
          <w:color w:val="auto"/>
          <w:kern w:val="2"/>
          <w:sz w:val="24"/>
          <w:szCs w:val="24"/>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lang w:eastAsia="zh-CN" w:bidi="ar-SA"/>
        </w:rPr>
        <w:t>设备生产厂家</w:t>
      </w:r>
      <w:r>
        <w:rPr>
          <w:rFonts w:hint="eastAsia" w:ascii="宋体" w:hAnsi="宋体" w:eastAsia="宋体" w:cs="宋体"/>
          <w:b w:val="0"/>
          <w:bCs w:val="0"/>
          <w:color w:val="auto"/>
          <w:kern w:val="2"/>
          <w:sz w:val="24"/>
          <w:szCs w:val="24"/>
          <w:lang w:val="en-US" w:eastAsia="zh-CN" w:bidi="ar-SA"/>
        </w:rPr>
        <w:t>承诺无条件</w:t>
      </w:r>
      <w:r>
        <w:rPr>
          <w:rFonts w:hint="eastAsia" w:ascii="宋体" w:hAnsi="宋体" w:eastAsia="宋体" w:cs="宋体"/>
          <w:b w:val="0"/>
          <w:bCs w:val="0"/>
          <w:color w:val="auto"/>
          <w:kern w:val="2"/>
          <w:sz w:val="24"/>
          <w:szCs w:val="24"/>
          <w:lang w:eastAsia="zh-CN" w:bidi="ar-SA"/>
        </w:rPr>
        <w:t>代替</w:t>
      </w:r>
      <w:r>
        <w:rPr>
          <w:rFonts w:hint="eastAsia" w:ascii="宋体" w:hAnsi="宋体" w:cs="宋体"/>
          <w:b w:val="0"/>
          <w:bCs w:val="0"/>
          <w:color w:val="auto"/>
          <w:kern w:val="2"/>
          <w:sz w:val="24"/>
          <w:szCs w:val="24"/>
          <w:lang w:val="en-US" w:eastAsia="zh-CN" w:bidi="ar-SA"/>
        </w:rPr>
        <w:t>供应商</w:t>
      </w:r>
      <w:r>
        <w:rPr>
          <w:rFonts w:hint="eastAsia" w:ascii="宋体" w:hAnsi="宋体" w:eastAsia="宋体" w:cs="宋体"/>
          <w:b w:val="0"/>
          <w:bCs w:val="0"/>
          <w:color w:val="auto"/>
          <w:kern w:val="2"/>
          <w:sz w:val="24"/>
          <w:szCs w:val="24"/>
          <w:lang w:val="en-US" w:eastAsia="zh-CN" w:bidi="ar-SA"/>
        </w:rPr>
        <w:t>继续履行</w:t>
      </w:r>
      <w:r>
        <w:rPr>
          <w:rFonts w:hint="eastAsia" w:ascii="宋体" w:hAnsi="宋体" w:cs="宋体"/>
          <w:b w:val="0"/>
          <w:bCs w:val="0"/>
          <w:color w:val="auto"/>
          <w:kern w:val="2"/>
          <w:sz w:val="24"/>
          <w:szCs w:val="24"/>
          <w:lang w:val="en-US" w:eastAsia="zh-CN" w:bidi="ar-SA"/>
        </w:rPr>
        <w:t>本承诺函及采购合同约定的售后</w:t>
      </w:r>
      <w:r>
        <w:rPr>
          <w:rFonts w:hint="eastAsia" w:ascii="宋体" w:hAnsi="宋体" w:eastAsia="宋体" w:cs="宋体"/>
          <w:b w:val="0"/>
          <w:bCs w:val="0"/>
          <w:color w:val="auto"/>
          <w:kern w:val="2"/>
          <w:sz w:val="24"/>
          <w:szCs w:val="24"/>
          <w:lang w:val="en-US" w:eastAsia="zh-CN" w:bidi="ar-SA"/>
        </w:rPr>
        <w:t>服务，</w:t>
      </w:r>
      <w:r>
        <w:rPr>
          <w:rFonts w:hint="eastAsia" w:ascii="宋体" w:hAnsi="宋体" w:cs="宋体"/>
          <w:b w:val="0"/>
          <w:bCs w:val="0"/>
          <w:color w:val="auto"/>
          <w:kern w:val="2"/>
          <w:sz w:val="24"/>
          <w:szCs w:val="24"/>
          <w:lang w:val="en-US" w:eastAsia="zh-CN" w:bidi="ar-SA"/>
        </w:rPr>
        <w:t>并由</w:t>
      </w:r>
      <w:r>
        <w:rPr>
          <w:rFonts w:hint="eastAsia" w:ascii="宋体" w:hAnsi="宋体" w:eastAsia="宋体" w:cs="宋体"/>
          <w:b w:val="0"/>
          <w:bCs w:val="0"/>
          <w:color w:val="auto"/>
          <w:kern w:val="2"/>
          <w:sz w:val="24"/>
          <w:szCs w:val="24"/>
          <w:lang w:val="en-US" w:eastAsia="zh-CN" w:bidi="ar-SA"/>
        </w:rPr>
        <w:t>设备生产厂家</w:t>
      </w:r>
      <w:r>
        <w:rPr>
          <w:rFonts w:hint="eastAsia" w:ascii="宋体" w:hAnsi="宋体" w:cs="宋体"/>
          <w:b w:val="0"/>
          <w:bCs w:val="0"/>
          <w:color w:val="auto"/>
          <w:kern w:val="2"/>
          <w:sz w:val="24"/>
          <w:szCs w:val="24"/>
          <w:lang w:val="en-US" w:eastAsia="zh-CN" w:bidi="ar-SA"/>
        </w:rPr>
        <w:t>和供应商连带</w:t>
      </w:r>
      <w:r>
        <w:rPr>
          <w:rFonts w:hint="eastAsia" w:ascii="宋体" w:hAnsi="宋体" w:eastAsia="宋体" w:cs="宋体"/>
          <w:b w:val="0"/>
          <w:bCs w:val="0"/>
          <w:color w:val="auto"/>
          <w:kern w:val="2"/>
          <w:sz w:val="24"/>
          <w:szCs w:val="24"/>
          <w:lang w:val="en-US" w:eastAsia="zh-CN" w:bidi="ar-SA"/>
        </w:rPr>
        <w:t>承担合同约定的</w:t>
      </w:r>
      <w:r>
        <w:rPr>
          <w:rFonts w:hint="eastAsia" w:ascii="宋体" w:hAnsi="宋体" w:cs="宋体"/>
          <w:b w:val="0"/>
          <w:bCs w:val="0"/>
          <w:color w:val="auto"/>
          <w:kern w:val="2"/>
          <w:sz w:val="24"/>
          <w:szCs w:val="24"/>
          <w:lang w:val="en-US" w:eastAsia="zh-CN" w:bidi="ar-SA"/>
        </w:rPr>
        <w:t>相关</w:t>
      </w:r>
      <w:r>
        <w:rPr>
          <w:rFonts w:hint="eastAsia" w:ascii="宋体" w:hAnsi="宋体" w:eastAsia="宋体" w:cs="宋体"/>
          <w:b w:val="0"/>
          <w:bCs w:val="0"/>
          <w:color w:val="auto"/>
          <w:kern w:val="2"/>
          <w:sz w:val="24"/>
          <w:szCs w:val="24"/>
          <w:lang w:val="en-US" w:eastAsia="zh-CN" w:bidi="ar-SA"/>
        </w:rPr>
        <w:t>违约责任。</w:t>
      </w:r>
    </w:p>
    <w:p>
      <w:pPr>
        <w:pStyle w:val="28"/>
        <w:numPr>
          <w:ilvl w:val="0"/>
          <w:numId w:val="0"/>
        </w:numPr>
        <w:jc w:val="left"/>
        <w:rPr>
          <w:rFonts w:hint="eastAsia" w:ascii="宋体" w:hAnsi="宋体" w:eastAsia="宋体" w:cs="宋体"/>
          <w:b w:val="0"/>
          <w:bCs w:val="0"/>
          <w:kern w:val="2"/>
          <w:sz w:val="24"/>
          <w:szCs w:val="24"/>
          <w:lang w:val="en-US" w:eastAsia="zh-CN" w:bidi="ar-SA"/>
        </w:rPr>
      </w:pPr>
    </w:p>
    <w:p>
      <w:pPr>
        <w:pStyle w:val="28"/>
        <w:numPr>
          <w:ilvl w:val="0"/>
          <w:numId w:val="0"/>
        </w:numPr>
        <w:jc w:val="left"/>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lang w:val="en-US" w:eastAsia="zh-CN" w:bidi="ar-SA"/>
        </w:rPr>
        <w:t>承</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诺</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方：</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               </w:t>
      </w:r>
      <w:r>
        <w:rPr>
          <w:rFonts w:hint="eastAsia" w:ascii="宋体" w:hAnsi="宋体" w:eastAsia="宋体" w:cs="宋体"/>
          <w:b w:val="0"/>
          <w:bCs w:val="0"/>
          <w:kern w:val="2"/>
          <w:sz w:val="24"/>
          <w:szCs w:val="24"/>
          <w:lang w:val="en-US" w:eastAsia="zh-CN" w:bidi="ar-SA"/>
        </w:rPr>
        <w:t>承</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诺</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方：</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公</w:t>
      </w:r>
      <w:r>
        <w:rPr>
          <w:rFonts w:hint="eastAsia" w:ascii="宋体" w:hAnsi="宋体" w:cs="宋体"/>
          <w:b w:val="0"/>
          <w:bCs w:val="0"/>
          <w:kern w:val="2"/>
          <w:sz w:val="24"/>
          <w:szCs w:val="24"/>
          <w:u w:val="none"/>
          <w:lang w:val="en-US" w:eastAsia="zh-CN" w:bidi="ar-SA"/>
        </w:rPr>
        <w:t xml:space="preserve">    </w:t>
      </w:r>
      <w:r>
        <w:rPr>
          <w:rFonts w:hint="eastAsia" w:ascii="宋体" w:hAnsi="宋体" w:eastAsia="宋体" w:cs="宋体"/>
          <w:b w:val="0"/>
          <w:bCs w:val="0"/>
          <w:kern w:val="2"/>
          <w:sz w:val="24"/>
          <w:szCs w:val="24"/>
          <w:u w:val="none"/>
          <w:lang w:val="en-US" w:eastAsia="zh-CN" w:bidi="ar-SA"/>
        </w:rPr>
        <w:t>章</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 </w:t>
      </w:r>
      <w:r>
        <w:rPr>
          <w:rFonts w:hint="eastAsia" w:ascii="宋体" w:hAnsi="宋体" w:cs="宋体"/>
          <w:b w:val="0"/>
          <w:bCs w:val="0"/>
          <w:kern w:val="2"/>
          <w:sz w:val="24"/>
          <w:szCs w:val="24"/>
          <w:u w:val="non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 公</w:t>
      </w:r>
      <w:r>
        <w:rPr>
          <w:rFonts w:hint="eastAsia" w:ascii="宋体" w:hAnsi="宋体" w:cs="宋体"/>
          <w:b w:val="0"/>
          <w:bCs w:val="0"/>
          <w:kern w:val="2"/>
          <w:sz w:val="24"/>
          <w:szCs w:val="24"/>
          <w:u w:val="none"/>
          <w:lang w:val="en-US" w:eastAsia="zh-CN" w:bidi="ar-SA"/>
        </w:rPr>
        <w:t xml:space="preserve">    </w:t>
      </w:r>
      <w:r>
        <w:rPr>
          <w:rFonts w:hint="eastAsia" w:ascii="宋体" w:hAnsi="宋体" w:eastAsia="宋体" w:cs="宋体"/>
          <w:b w:val="0"/>
          <w:bCs w:val="0"/>
          <w:kern w:val="2"/>
          <w:sz w:val="24"/>
          <w:szCs w:val="24"/>
          <w:u w:val="none"/>
          <w:lang w:val="en-US" w:eastAsia="zh-CN" w:bidi="ar-SA"/>
        </w:rPr>
        <w:t>章</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u w:val="none"/>
          <w:lang w:val="en-US" w:eastAsia="zh-CN" w:bidi="ar-SA"/>
        </w:rPr>
        <w:t>法人代表授权人</w:t>
      </w:r>
      <w:r>
        <w:rPr>
          <w:rFonts w:hint="eastAsia" w:ascii="宋体" w:hAnsi="宋体" w:cs="宋体"/>
          <w:b w:val="0"/>
          <w:bCs w:val="0"/>
          <w:kern w:val="2"/>
          <w:sz w:val="24"/>
          <w:szCs w:val="24"/>
          <w:u w:val="none"/>
          <w:lang w:val="en-US" w:eastAsia="zh-CN" w:bidi="ar-SA"/>
        </w:rPr>
        <w:t>：</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             </w:t>
      </w:r>
      <w:r>
        <w:rPr>
          <w:rFonts w:hint="eastAsia" w:ascii="宋体" w:hAnsi="宋体" w:cs="宋体"/>
          <w:b w:val="0"/>
          <w:bCs w:val="0"/>
          <w:kern w:val="2"/>
          <w:sz w:val="24"/>
          <w:szCs w:val="24"/>
          <w:u w:val="none"/>
          <w:lang w:val="en-US" w:eastAsia="zh-CN" w:bidi="ar-SA"/>
        </w:rPr>
        <w:t xml:space="preserve">  </w:t>
      </w:r>
      <w:r>
        <w:rPr>
          <w:rFonts w:hint="eastAsia" w:ascii="宋体" w:hAnsi="宋体" w:eastAsia="宋体" w:cs="宋体"/>
          <w:b w:val="0"/>
          <w:bCs w:val="0"/>
          <w:kern w:val="2"/>
          <w:sz w:val="24"/>
          <w:szCs w:val="24"/>
          <w:u w:val="none"/>
          <w:lang w:val="en-US" w:eastAsia="zh-CN" w:bidi="ar-SA"/>
        </w:rPr>
        <w:t>法人代表授权人</w:t>
      </w:r>
      <w:r>
        <w:rPr>
          <w:rFonts w:hint="eastAsia" w:ascii="宋体" w:hAnsi="宋体" w:cs="宋体"/>
          <w:b w:val="0"/>
          <w:bCs w:val="0"/>
          <w:kern w:val="2"/>
          <w:sz w:val="24"/>
          <w:szCs w:val="24"/>
          <w:u w:val="none"/>
          <w:lang w:val="en-US" w:eastAsia="zh-CN" w:bidi="ar-SA"/>
        </w:rPr>
        <w:t>：</w:t>
      </w: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 年</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月</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日                     </w:t>
      </w:r>
      <w:r>
        <w:rPr>
          <w:rFonts w:hint="eastAsia" w:ascii="宋体" w:hAnsi="宋体" w:cs="宋体"/>
          <w:b w:val="0"/>
          <w:bCs w:val="0"/>
          <w:kern w:val="2"/>
          <w:sz w:val="24"/>
          <w:szCs w:val="24"/>
          <w:u w:val="non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 年</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月</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注：</w:t>
      </w:r>
      <w:r>
        <w:rPr>
          <w:rFonts w:hint="eastAsia" w:ascii="宋体" w:hAnsi="宋体" w:cs="宋体"/>
          <w:b w:val="0"/>
          <w:bCs w:val="0"/>
          <w:kern w:val="2"/>
          <w:sz w:val="21"/>
          <w:szCs w:val="21"/>
          <w:u w:val="none"/>
          <w:lang w:val="en-US" w:eastAsia="zh-CN" w:bidi="ar-SA"/>
        </w:rPr>
        <w:t>1、</w:t>
      </w:r>
      <w:r>
        <w:rPr>
          <w:rFonts w:hint="eastAsia" w:ascii="宋体" w:hAnsi="宋体" w:eastAsia="宋体" w:cs="宋体"/>
          <w:b w:val="0"/>
          <w:bCs w:val="0"/>
          <w:kern w:val="2"/>
          <w:sz w:val="21"/>
          <w:szCs w:val="21"/>
          <w:u w:val="none"/>
          <w:lang w:val="en-US" w:eastAsia="zh-CN" w:bidi="ar-SA"/>
        </w:rPr>
        <w:t>若投标人为设备生产厂家可只填一个</w:t>
      </w:r>
      <w:r>
        <w:rPr>
          <w:rFonts w:hint="eastAsia" w:ascii="宋体" w:hAnsi="宋体" w:cs="宋体"/>
          <w:b w:val="0"/>
          <w:bCs w:val="0"/>
          <w:kern w:val="2"/>
          <w:sz w:val="21"/>
          <w:szCs w:val="21"/>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u w:val="none"/>
          <w:lang w:val="en-US" w:eastAsia="zh-CN" w:bidi="ar-SA"/>
        </w:rPr>
      </w:pPr>
      <w:r>
        <w:rPr>
          <w:rFonts w:hint="eastAsia" w:ascii="宋体" w:hAnsi="宋体" w:cs="宋体"/>
          <w:b w:val="0"/>
          <w:bCs w:val="0"/>
          <w:kern w:val="2"/>
          <w:sz w:val="21"/>
          <w:szCs w:val="21"/>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u w:val="none"/>
          <w:lang w:val="en-US" w:eastAsia="zh-CN" w:bidi="ar-SA"/>
        </w:rPr>
      </w:pPr>
      <w:r>
        <w:rPr>
          <w:rFonts w:hint="eastAsia" w:ascii="宋体" w:hAnsi="宋体" w:cs="宋体"/>
          <w:b w:val="0"/>
          <w:bCs w:val="0"/>
          <w:kern w:val="2"/>
          <w:sz w:val="21"/>
          <w:szCs w:val="21"/>
          <w:u w:val="none"/>
          <w:lang w:val="en-US" w:eastAsia="zh-CN" w:bidi="ar-SA"/>
        </w:rPr>
        <w:t>3、售后服务承诺，需供应商及设备生产厂家双方加盖单位公章（鲜章）</w:t>
      </w:r>
    </w:p>
    <w:p>
      <w:pPr>
        <w:pStyle w:val="2"/>
        <w:rPr>
          <w:rFonts w:hint="eastAsia"/>
          <w:sz w:val="30"/>
          <w:szCs w:val="30"/>
          <w:lang w:val="en-US" w:eastAsia="zh-CN"/>
        </w:rPr>
      </w:pPr>
    </w:p>
    <w:p>
      <w:pPr>
        <w:pStyle w:val="2"/>
        <w:jc w:val="center"/>
        <w:rPr>
          <w:rFonts w:hint="eastAsia"/>
          <w:b/>
          <w:bCs/>
          <w:sz w:val="32"/>
          <w:szCs w:val="32"/>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lang w:val="en-US" w:eastAsia="zh-CN"/>
        </w:rPr>
      </w:pPr>
      <w:r>
        <w:rPr>
          <w:rFonts w:hint="eastAsia"/>
          <w:b/>
          <w:bCs/>
          <w:sz w:val="32"/>
          <w:szCs w:val="32"/>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（1）外观检查（各结构、部件等）；</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（2）电气安全检查；</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（3）功能检查；</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（4）测试调整、校准；</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（5）软件维护、备份、升级；</w:t>
      </w:r>
    </w:p>
    <w:p>
      <w:pPr>
        <w:pStyle w:val="2"/>
        <w:rPr>
          <w:rFonts w:hint="eastAsia"/>
          <w:lang w:val="en-US" w:eastAsia="zh-CN"/>
        </w:rPr>
      </w:pPr>
      <w:r>
        <w:rPr>
          <w:rFonts w:hint="eastAsia" w:ascii="宋体" w:hAnsi="宋体" w:eastAsia="宋体" w:cs="宋体"/>
          <w:sz w:val="24"/>
          <w:szCs w:val="24"/>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lang w:val="en-US" w:eastAsia="zh-CN"/>
              </w:rPr>
            </w:pPr>
            <w:r>
              <w:rPr>
                <w:rFonts w:hint="eastAsia" w:ascii="华文楷体" w:hAnsi="华文楷体" w:eastAsia="华文楷体" w:cs="Arial"/>
                <w:b/>
                <w:bCs/>
                <w:kern w:val="0"/>
                <w:sz w:val="24"/>
                <w:szCs w:val="24"/>
                <w:lang w:val="en-US" w:eastAsia="zh-CN"/>
              </w:rPr>
              <w:t>某品牌彩超维护保养细则</w:t>
            </w:r>
            <w:r>
              <w:rPr>
                <w:rFonts w:hint="eastAsia" w:ascii="华文楷体" w:hAnsi="华文楷体" w:eastAsia="华文楷体" w:cs="Arial"/>
                <w:b/>
                <w:bCs/>
                <w:color w:val="FF0000"/>
                <w:kern w:val="0"/>
                <w:sz w:val="24"/>
                <w:szCs w:val="24"/>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rPr>
            </w:pPr>
            <w:r>
              <w:rPr>
                <w:rFonts w:ascii="Arial" w:hAnsi="Arial" w:cs="Arial"/>
                <w:kern w:val="0"/>
                <w:sz w:val="16"/>
                <w:szCs w:val="16"/>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帮助用户备份用户设置及指导客户定期备份病人资料</w:t>
            </w:r>
          </w:p>
        </w:tc>
      </w:tr>
    </w:tbl>
    <w:p>
      <w:pPr>
        <w:rPr>
          <w:rFonts w:hint="default"/>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r>
        <w:rPr>
          <w:rFonts w:hint="eastAsia"/>
          <w:color w:val="auto"/>
          <w:sz w:val="24"/>
          <w:szCs w:val="24"/>
          <w:lang w:val="en-US" w:eastAsia="zh-CN"/>
        </w:rPr>
        <w:t>及医保耗材编码</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pPr>
        <w:bidi w:val="0"/>
        <w:jc w:val="left"/>
        <w:rPr>
          <w:rFonts w:asciiTheme="minorHAnsi" w:hAnsiTheme="minorHAnsi" w:eastAsiaTheme="minorEastAsia" w:cstheme="minorBidi"/>
          <w:kern w:val="2"/>
          <w:sz w:val="21"/>
          <w:szCs w:val="22"/>
          <w:lang w:val="en-US" w:eastAsia="zh-CN" w:bidi="ar-SA"/>
        </w:rPr>
      </w:pPr>
    </w:p>
    <w:p>
      <w:pPr>
        <w:tabs>
          <w:tab w:val="left" w:pos="525"/>
        </w:tabs>
        <w:spacing w:beforeLines="50" w:afterLines="50"/>
        <w:jc w:val="left"/>
        <w:rPr>
          <w:szCs w:val="21"/>
        </w:rPr>
      </w:pPr>
      <w:r>
        <w:rPr>
          <w:rFonts w:hint="eastAsia"/>
          <w:szCs w:val="21"/>
        </w:rPr>
        <w:t>附件：</w:t>
      </w:r>
    </w:p>
    <w:p>
      <w:pPr>
        <w:tabs>
          <w:tab w:val="left" w:pos="525"/>
        </w:tabs>
        <w:spacing w:beforeLines="50" w:afterLines="50"/>
        <w:jc w:val="center"/>
        <w:rPr>
          <w:sz w:val="24"/>
          <w:szCs w:val="24"/>
        </w:rPr>
      </w:pPr>
      <w:r>
        <w:rPr>
          <w:rFonts w:hint="eastAsia"/>
          <w:sz w:val="24"/>
          <w:szCs w:val="24"/>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pPr>
        <w:tabs>
          <w:tab w:val="left" w:pos="525"/>
        </w:tabs>
        <w:spacing w:beforeLines="50" w:afterLines="50"/>
        <w:jc w:val="center"/>
        <w:rPr>
          <w:sz w:val="24"/>
          <w:szCs w:val="24"/>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F0A59"/>
    <w:multiLevelType w:val="singleLevel"/>
    <w:tmpl w:val="B91F0A59"/>
    <w:lvl w:ilvl="0" w:tentative="0">
      <w:start w:val="1"/>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C927A1"/>
    <w:rsid w:val="035A6EFE"/>
    <w:rsid w:val="041C58C0"/>
    <w:rsid w:val="044B0248"/>
    <w:rsid w:val="0453572F"/>
    <w:rsid w:val="04E9700E"/>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966AEA"/>
    <w:rsid w:val="0CD43105"/>
    <w:rsid w:val="0CFD5D63"/>
    <w:rsid w:val="0D5468B3"/>
    <w:rsid w:val="0E150DED"/>
    <w:rsid w:val="0E5F143F"/>
    <w:rsid w:val="0E992BE9"/>
    <w:rsid w:val="0EAC6B4A"/>
    <w:rsid w:val="0EB24083"/>
    <w:rsid w:val="0F7861ED"/>
    <w:rsid w:val="0FA60903"/>
    <w:rsid w:val="105772C0"/>
    <w:rsid w:val="1069002A"/>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9E140B7"/>
    <w:rsid w:val="2A1908E7"/>
    <w:rsid w:val="2A334B6C"/>
    <w:rsid w:val="2A457B20"/>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C3697"/>
    <w:rsid w:val="2DF4181D"/>
    <w:rsid w:val="2DF44523"/>
    <w:rsid w:val="2E997E3E"/>
    <w:rsid w:val="2EA9114B"/>
    <w:rsid w:val="2ED449DD"/>
    <w:rsid w:val="2F5C6B97"/>
    <w:rsid w:val="2F675CA4"/>
    <w:rsid w:val="2F996B56"/>
    <w:rsid w:val="2FC13F2A"/>
    <w:rsid w:val="301104A3"/>
    <w:rsid w:val="303B1B22"/>
    <w:rsid w:val="30632B87"/>
    <w:rsid w:val="30D40010"/>
    <w:rsid w:val="30DD098E"/>
    <w:rsid w:val="30FE589E"/>
    <w:rsid w:val="31554C27"/>
    <w:rsid w:val="317767B0"/>
    <w:rsid w:val="31940280"/>
    <w:rsid w:val="319F0724"/>
    <w:rsid w:val="31B359FE"/>
    <w:rsid w:val="31D924B7"/>
    <w:rsid w:val="32135C6C"/>
    <w:rsid w:val="323303FB"/>
    <w:rsid w:val="323F0F2E"/>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7556DD"/>
    <w:rsid w:val="409E01B2"/>
    <w:rsid w:val="40A21C91"/>
    <w:rsid w:val="412C5A7C"/>
    <w:rsid w:val="412C7C92"/>
    <w:rsid w:val="41792E5F"/>
    <w:rsid w:val="419B66BC"/>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7C4775"/>
    <w:rsid w:val="56C655B6"/>
    <w:rsid w:val="56D46E45"/>
    <w:rsid w:val="56DB7FA9"/>
    <w:rsid w:val="5731280F"/>
    <w:rsid w:val="57551060"/>
    <w:rsid w:val="57C82A0E"/>
    <w:rsid w:val="5849504A"/>
    <w:rsid w:val="58670B4D"/>
    <w:rsid w:val="587A3C96"/>
    <w:rsid w:val="587D1F7A"/>
    <w:rsid w:val="587E2D83"/>
    <w:rsid w:val="58BB4167"/>
    <w:rsid w:val="58FB7ABB"/>
    <w:rsid w:val="592045A4"/>
    <w:rsid w:val="59921DEC"/>
    <w:rsid w:val="59DE576D"/>
    <w:rsid w:val="5A3773F8"/>
    <w:rsid w:val="5A971D70"/>
    <w:rsid w:val="5B23548E"/>
    <w:rsid w:val="5B686961"/>
    <w:rsid w:val="5B6F03CE"/>
    <w:rsid w:val="5B9634FA"/>
    <w:rsid w:val="5B9C5044"/>
    <w:rsid w:val="5B9C5BD2"/>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3045DB3"/>
    <w:rsid w:val="63163B5D"/>
    <w:rsid w:val="63524159"/>
    <w:rsid w:val="63C745D9"/>
    <w:rsid w:val="63DD1280"/>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1A0676C"/>
    <w:rsid w:val="720832B1"/>
    <w:rsid w:val="72386389"/>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C90B4A"/>
    <w:rsid w:val="78465F9A"/>
    <w:rsid w:val="789F2E9D"/>
    <w:rsid w:val="79116E24"/>
    <w:rsid w:val="7998662A"/>
    <w:rsid w:val="799D03F5"/>
    <w:rsid w:val="79B704A0"/>
    <w:rsid w:val="79FC47F9"/>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2847</Words>
  <Characters>3103</Characters>
  <Lines>0</Lines>
  <Paragraphs>0</Paragraphs>
  <ScaleCrop>false</ScaleCrop>
  <LinksUpToDate>false</LinksUpToDate>
  <CharactersWithSpaces>3202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2025-03-28T02:23:37Z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FFCE82E0D1134444B6DCA6A5DDE51E53_13</vt:lpwstr>
  </property>
  <property fmtid="{D5CDD505-2E9C-101B-9397-08002B2CF9AE}" pid="4" name="KSOTemplateDocerSaveRecord">
    <vt:lpwstr>eyJoZGlkIjoiNzBhZDhkMmI2ZGFmMWIxNmYwZDM2OGNiZjJhNDY4OWUiLCJ1c2VySWQiOiI0MjE4OTQxMTEifQ==</vt:lpwstr>
  </property>
</Properties>
</file>